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96"/>
        <w:jc w:val="both"/>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w:t>
            </w:r>
            <w:bookmarkStart w:id="0" w:name="_GoBack"/>
            <w:bookmarkEnd w:id="0"/>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5.11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1.84</w:t>
            </w: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12.43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智慧平台服务费及专用检测费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12.43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16.56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4.04</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31.45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jc w:val="left"/>
              <w:textAlignment w:val="baseline"/>
              <w:rPr>
                <w:rFonts w:hint="default" w:ascii="Arial" w:hAnsi="Arial" w:eastAsia="宋体" w:cs="Arial"/>
                <w:snapToGrid w:val="0"/>
                <w:color w:val="000000"/>
                <w:sz w:val="21"/>
                <w:szCs w:val="21"/>
                <w:lang w:val="en-US" w:eastAsia="zh-CN" w:bidi="ar-SA"/>
              </w:rPr>
            </w:pPr>
            <w:r>
              <w:rPr>
                <w:rFonts w:hint="eastAsia" w:ascii="仿宋_GB2312" w:hAnsi="宋体" w:eastAsia="仿宋_GB2312" w:cs="宋体"/>
                <w:kern w:val="0"/>
                <w:lang w:val="en-US" w:eastAsia="zh-CN"/>
              </w:rPr>
              <w:t>严格控制各项支出，优化财政支出结构，提高财政资金使用效率，确保政府过紧日子要求落到实处。</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spacing w:before="117" w:line="219" w:lineRule="auto"/>
        <w:jc w:val="left"/>
        <w:rPr>
          <w:rFonts w:hint="eastAsia"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柳灿</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2023年6月5日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15292005668</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葛思卉</w:t>
      </w:r>
    </w:p>
    <w:p>
      <w:pPr>
        <w:spacing w:before="117" w:line="219" w:lineRule="auto"/>
        <w:ind w:firstLine="616"/>
        <w:jc w:val="left"/>
        <w:rPr>
          <w:rFonts w:hint="eastAsia" w:ascii="仿宋_GB2312" w:hAnsi="宋体" w:eastAsia="仿宋_GB2312" w:cs="宋体"/>
          <w:bCs/>
          <w:spacing w:val="8"/>
          <w:kern w:val="0"/>
          <w:sz w:val="30"/>
          <w:szCs w:val="30"/>
          <w:lang w:eastAsia="zh-CN"/>
        </w:rPr>
      </w:pPr>
    </w:p>
    <w:p>
      <w:pPr>
        <w:spacing w:before="117" w:line="219" w:lineRule="auto"/>
        <w:ind w:firstLine="616"/>
        <w:jc w:val="left"/>
        <w:rPr>
          <w:rFonts w:hint="eastAsia" w:ascii="仿宋_GB2312" w:hAnsi="宋体" w:eastAsia="仿宋_GB2312" w:cs="宋体"/>
          <w:bCs/>
          <w:spacing w:val="8"/>
          <w:kern w:val="0"/>
          <w:sz w:val="30"/>
          <w:szCs w:val="30"/>
          <w:lang w:eastAsia="zh-CN"/>
        </w:rPr>
      </w:pPr>
    </w:p>
    <w:p>
      <w:pPr>
        <w:spacing w:before="117" w:line="219" w:lineRule="auto"/>
        <w:ind w:firstLine="616"/>
        <w:jc w:val="left"/>
        <w:rPr>
          <w:rFonts w:hint="eastAsia" w:ascii="仿宋_GB2312" w:hAnsi="宋体" w:eastAsia="仿宋_GB2312" w:cs="宋体"/>
          <w:bCs/>
          <w:spacing w:val="8"/>
          <w:kern w:val="0"/>
          <w:sz w:val="30"/>
          <w:szCs w:val="30"/>
          <w:lang w:eastAsia="zh-CN"/>
        </w:rPr>
      </w:pPr>
    </w:p>
    <w:p>
      <w:pPr>
        <w:spacing w:before="117" w:line="219" w:lineRule="auto"/>
        <w:ind w:firstLine="616"/>
        <w:jc w:val="left"/>
        <w:rPr>
          <w:rFonts w:ascii="仿宋_GB2312" w:hAnsi="宋体" w:eastAsia="仿宋_GB2312" w:cs="宋体"/>
          <w:bCs/>
          <w:spacing w:val="8"/>
          <w:kern w:val="0"/>
          <w:sz w:val="30"/>
          <w:szCs w:val="30"/>
          <w:lang w:eastAsia="zh-CN"/>
        </w:rPr>
      </w:pP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390"/>
        <w:gridCol w:w="1455"/>
        <w:gridCol w:w="1305"/>
        <w:gridCol w:w="780"/>
        <w:gridCol w:w="765"/>
        <w:gridCol w:w="11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汨罗市建筑工程服务中心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455"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305"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78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76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112"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390"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793.71</w:t>
            </w:r>
          </w:p>
        </w:tc>
        <w:tc>
          <w:tcPr>
            <w:tcW w:w="1455"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851.32</w:t>
            </w:r>
          </w:p>
        </w:tc>
        <w:tc>
          <w:tcPr>
            <w:tcW w:w="1305"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851.32</w:t>
            </w:r>
          </w:p>
        </w:tc>
        <w:tc>
          <w:tcPr>
            <w:tcW w:w="780"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765"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112"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43"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3962"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43"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851.32</w:t>
            </w:r>
          </w:p>
        </w:tc>
        <w:tc>
          <w:tcPr>
            <w:tcW w:w="3962"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838.8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43"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3962"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12.52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43"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3962"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943"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3962"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943"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3962"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943" w:type="dxa"/>
            <w:gridSpan w:val="4"/>
            <w:vAlign w:val="center"/>
          </w:tcPr>
          <w:p>
            <w:pPr>
              <w:spacing w:line="240" w:lineRule="auto"/>
              <w:jc w:val="both"/>
              <w:rPr>
                <w:rFonts w:ascii="仿宋_GB2312" w:eastAsia="仿宋_GB2312"/>
                <w:kern w:val="0"/>
              </w:rPr>
            </w:pPr>
            <w:r>
              <w:rPr>
                <w:rFonts w:hint="eastAsia" w:ascii="仿宋_GB2312" w:eastAsia="仿宋_GB2312"/>
                <w:kern w:val="0"/>
                <w:lang w:eastAsia="zh-CN"/>
              </w:rPr>
              <w:t>1：抓好党建廉政和内部管理；2：做好疫情防控工作；3：强化安全生产监管；</w:t>
            </w:r>
            <w:r>
              <w:rPr>
                <w:rFonts w:hint="eastAsia" w:ascii="仿宋_GB2312" w:eastAsia="仿宋_GB2312"/>
                <w:kern w:val="0"/>
              </w:rPr>
              <w:t>4：搞好行业管理和服务</w:t>
            </w:r>
          </w:p>
        </w:tc>
        <w:tc>
          <w:tcPr>
            <w:tcW w:w="3962" w:type="dxa"/>
            <w:gridSpan w:val="4"/>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任务已经完成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39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45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30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78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76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11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 xml:space="preserve">工程建设监管执法率                                                                           </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100%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质量安全标准化考评率</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100%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 xml:space="preserve">建筑施工企业信用评价率 </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100%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 xml:space="preserve">办理项目竣工验收备案 </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57个</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57个</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监督工程竣工验收率</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100%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做好公开招投标项目监管</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15个</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15个</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质量投诉回复处理率</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群众满意度100%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群众满意度100%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房建和市政基础设施建设项目监管率</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100%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违法建设巡查率</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rPr>
              <w:t>100%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建筑工程质量安全</w:t>
            </w:r>
          </w:p>
        </w:tc>
        <w:tc>
          <w:tcPr>
            <w:tcW w:w="1455" w:type="dxa"/>
            <w:vAlign w:val="center"/>
          </w:tcPr>
          <w:p>
            <w:pPr>
              <w:tabs>
                <w:tab w:val="left" w:pos="316"/>
              </w:tabs>
              <w:spacing w:line="240" w:lineRule="auto"/>
              <w:jc w:val="center"/>
              <w:rPr>
                <w:rFonts w:hint="eastAsia" w:ascii="仿宋_GB2312" w:eastAsia="仿宋_GB2312"/>
                <w:kern w:val="0"/>
                <w:lang w:eastAsia="zh-CN"/>
              </w:rPr>
            </w:pPr>
            <w:r>
              <w:rPr>
                <w:rFonts w:hint="eastAsia" w:ascii="仿宋_GB2312" w:eastAsia="仿宋_GB2312"/>
                <w:kern w:val="0"/>
                <w:lang w:eastAsia="zh-CN"/>
              </w:rPr>
              <w:t>不发生较大安全生产事故</w:t>
            </w:r>
          </w:p>
        </w:tc>
        <w:tc>
          <w:tcPr>
            <w:tcW w:w="1305" w:type="dxa"/>
            <w:vAlign w:val="center"/>
          </w:tcPr>
          <w:p>
            <w:pPr>
              <w:tabs>
                <w:tab w:val="left" w:pos="316"/>
              </w:tabs>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不发生较大安全生产事故</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left"/>
              <w:rPr>
                <w:rFonts w:ascii="仿宋_GB2312" w:eastAsia="仿宋_GB2312"/>
                <w:kern w:val="0"/>
              </w:rPr>
            </w:pPr>
            <w:r>
              <w:rPr>
                <w:rFonts w:hint="eastAsia" w:ascii="仿宋_GB2312" w:eastAsia="仿宋_GB2312"/>
                <w:kern w:val="0"/>
              </w:rPr>
              <w:t>施工现场质量安全样板</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lang w:eastAsia="zh-CN"/>
              </w:rPr>
              <w:t>覆盖率全面提升</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覆盖率全面提升</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left"/>
              <w:rPr>
                <w:rFonts w:ascii="仿宋_GB2312" w:eastAsia="仿宋_GB2312"/>
                <w:kern w:val="0"/>
              </w:rPr>
            </w:pPr>
            <w:r>
              <w:rPr>
                <w:rFonts w:hint="eastAsia" w:ascii="仿宋_GB2312" w:eastAsia="仿宋_GB2312"/>
                <w:kern w:val="0"/>
              </w:rPr>
              <w:t xml:space="preserve">在建项目劳务实名制 </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lang w:eastAsia="zh-CN"/>
              </w:rPr>
              <w:t>40%</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40%</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left"/>
              <w:rPr>
                <w:rFonts w:ascii="仿宋_GB2312" w:eastAsia="仿宋_GB2312"/>
                <w:kern w:val="0"/>
              </w:rPr>
            </w:pPr>
            <w:r>
              <w:rPr>
                <w:rFonts w:hint="eastAsia" w:ascii="仿宋_GB2312" w:eastAsia="仿宋_GB2312"/>
                <w:kern w:val="0"/>
              </w:rPr>
              <w:t>智慧工地视频监控等智慧板块覆盖率</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lang w:eastAsia="zh-CN"/>
              </w:rPr>
              <w:t>全覆盖</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全覆盖</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left"/>
              <w:rPr>
                <w:rFonts w:ascii="仿宋_GB2312" w:eastAsia="仿宋_GB2312"/>
                <w:kern w:val="0"/>
              </w:rPr>
            </w:pPr>
            <w:r>
              <w:rPr>
                <w:rFonts w:hint="eastAsia" w:ascii="仿宋_GB2312" w:eastAsia="仿宋_GB2312"/>
                <w:kern w:val="0"/>
              </w:rPr>
              <w:t>扬尘防治责任公示</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lang w:eastAsia="zh-CN"/>
              </w:rPr>
              <w:t>全覆盖</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全覆盖</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left"/>
              <w:rPr>
                <w:rFonts w:ascii="仿宋_GB2312" w:eastAsia="仿宋_GB2312"/>
                <w:kern w:val="0"/>
              </w:rPr>
            </w:pPr>
            <w:r>
              <w:rPr>
                <w:rFonts w:hint="eastAsia" w:ascii="仿宋_GB2312" w:eastAsia="仿宋_GB2312"/>
                <w:kern w:val="0"/>
              </w:rPr>
              <w:t>房屋质量</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lang w:eastAsia="zh-CN"/>
              </w:rPr>
              <w:t>无较重大及以上质量安全事故</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无较重大及以上质量安全事故</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left"/>
              <w:rPr>
                <w:rFonts w:ascii="仿宋_GB2312" w:eastAsia="仿宋_GB2312"/>
                <w:kern w:val="0"/>
              </w:rPr>
            </w:pPr>
            <w:r>
              <w:rPr>
                <w:rFonts w:hint="eastAsia" w:ascii="仿宋_GB2312" w:eastAsia="仿宋_GB2312"/>
                <w:kern w:val="0"/>
              </w:rPr>
              <w:t>工程建设消防安全</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lang w:eastAsia="zh-CN"/>
              </w:rPr>
              <w:t>不发生较大消防安全事故</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不发生较大消防安全事故</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现场质量安全巡查</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lang w:eastAsia="zh-CN"/>
              </w:rPr>
              <w:t>每月一次以上</w:t>
            </w:r>
          </w:p>
        </w:tc>
        <w:tc>
          <w:tcPr>
            <w:tcW w:w="130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eastAsia="zh-CN"/>
              </w:rPr>
              <w:t>每月一次以上</w:t>
            </w:r>
          </w:p>
        </w:tc>
        <w:tc>
          <w:tcPr>
            <w:tcW w:w="78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按计划时间完成</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2022年1-12月</w:t>
            </w:r>
          </w:p>
        </w:tc>
        <w:tc>
          <w:tcPr>
            <w:tcW w:w="130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按计划完成</w:t>
            </w:r>
          </w:p>
        </w:tc>
        <w:tc>
          <w:tcPr>
            <w:tcW w:w="780"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65"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提高人居生活质量</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不形成负面影响</w:t>
            </w:r>
          </w:p>
        </w:tc>
        <w:tc>
          <w:tcPr>
            <w:tcW w:w="1305"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不形成负面影响</w:t>
            </w:r>
          </w:p>
        </w:tc>
        <w:tc>
          <w:tcPr>
            <w:tcW w:w="780"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65"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工程质量安全形式</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整体平稳</w:t>
            </w:r>
          </w:p>
        </w:tc>
        <w:tc>
          <w:tcPr>
            <w:tcW w:w="1305"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整体平稳</w:t>
            </w:r>
          </w:p>
        </w:tc>
        <w:tc>
          <w:tcPr>
            <w:tcW w:w="780"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群众对质量安全的认识</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让质量安全更深入人心</w:t>
            </w:r>
          </w:p>
        </w:tc>
        <w:tc>
          <w:tcPr>
            <w:tcW w:w="1305"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让质量安全更深入人心</w:t>
            </w:r>
          </w:p>
        </w:tc>
        <w:tc>
          <w:tcPr>
            <w:tcW w:w="780"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优化、简化监督注册流程</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让群众省心省力</w:t>
            </w:r>
          </w:p>
        </w:tc>
        <w:tc>
          <w:tcPr>
            <w:tcW w:w="1305"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让群众省心省力</w:t>
            </w:r>
          </w:p>
        </w:tc>
        <w:tc>
          <w:tcPr>
            <w:tcW w:w="780"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严格控制建筑施工扬尘，促进建筑产业绿色发展</w:t>
            </w:r>
          </w:p>
        </w:tc>
        <w:tc>
          <w:tcPr>
            <w:tcW w:w="1455" w:type="dxa"/>
            <w:vAlign w:val="center"/>
          </w:tcPr>
          <w:p>
            <w:pPr>
              <w:tabs>
                <w:tab w:val="left" w:pos="661"/>
              </w:tabs>
              <w:spacing w:line="240" w:lineRule="auto"/>
              <w:jc w:val="center"/>
              <w:rPr>
                <w:rFonts w:hint="eastAsia" w:ascii="仿宋_GB2312" w:eastAsia="仿宋_GB2312"/>
                <w:kern w:val="0"/>
                <w:lang w:eastAsia="zh-CN"/>
              </w:rPr>
            </w:pPr>
            <w:r>
              <w:rPr>
                <w:rFonts w:hint="eastAsia" w:ascii="仿宋_GB2312" w:eastAsia="仿宋_GB2312"/>
                <w:kern w:val="0"/>
                <w:lang w:eastAsia="zh-CN"/>
              </w:rPr>
              <w:t>工程项目质量绿色安全可靠</w:t>
            </w:r>
          </w:p>
        </w:tc>
        <w:tc>
          <w:tcPr>
            <w:tcW w:w="1305" w:type="dxa"/>
            <w:vAlign w:val="center"/>
          </w:tcPr>
          <w:p>
            <w:pPr>
              <w:tabs>
                <w:tab w:val="left" w:pos="661"/>
              </w:tabs>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工程项目质量绿色安全可靠</w:t>
            </w:r>
          </w:p>
        </w:tc>
        <w:tc>
          <w:tcPr>
            <w:tcW w:w="780"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single" w:color="auto" w:sz="4" w:space="0"/>
            </w:tcBorders>
            <w:vAlign w:val="center"/>
          </w:tcPr>
          <w:p>
            <w:pPr>
              <w:spacing w:line="240" w:lineRule="auto"/>
              <w:ind w:firstLine="420"/>
              <w:jc w:val="center"/>
              <w:rPr>
                <w:rFonts w:ascii="仿宋_GB2312" w:eastAsia="仿宋_GB2312"/>
                <w:kern w:val="0"/>
              </w:rPr>
            </w:pPr>
          </w:p>
        </w:tc>
        <w:tc>
          <w:tcPr>
            <w:tcW w:w="1029" w:type="dxa"/>
            <w:tcBorders>
              <w:bottom w:val="single" w:color="auto" w:sz="4" w:space="0"/>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390"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建筑市场平稳有序发展</w:t>
            </w:r>
          </w:p>
        </w:tc>
        <w:tc>
          <w:tcPr>
            <w:tcW w:w="145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95%以上</w:t>
            </w:r>
          </w:p>
        </w:tc>
        <w:tc>
          <w:tcPr>
            <w:tcW w:w="1305"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95%以上</w:t>
            </w:r>
          </w:p>
        </w:tc>
        <w:tc>
          <w:tcPr>
            <w:tcW w:w="780"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1069"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390" w:type="dxa"/>
            <w:tcBorders>
              <w:left w:val="single" w:color="auto" w:sz="4" w:space="0"/>
            </w:tcBorders>
            <w:vAlign w:val="center"/>
          </w:tcPr>
          <w:p>
            <w:pPr>
              <w:spacing w:line="240" w:lineRule="auto"/>
              <w:ind w:firstLine="420"/>
              <w:jc w:val="center"/>
              <w:rPr>
                <w:rFonts w:ascii="仿宋_GB2312" w:eastAsia="仿宋_GB2312"/>
                <w:kern w:val="0"/>
              </w:rPr>
            </w:pPr>
            <w:r>
              <w:rPr>
                <w:rFonts w:hint="eastAsia" w:ascii="仿宋_GB2312" w:eastAsia="仿宋_GB2312"/>
                <w:kern w:val="0"/>
              </w:rPr>
              <w:t>施工企业、业主、群众满意度</w:t>
            </w:r>
          </w:p>
        </w:tc>
        <w:tc>
          <w:tcPr>
            <w:tcW w:w="1455" w:type="dxa"/>
            <w:vAlign w:val="center"/>
          </w:tcPr>
          <w:p>
            <w:pPr>
              <w:spacing w:line="240" w:lineRule="auto"/>
              <w:ind w:firstLine="420"/>
              <w:jc w:val="both"/>
              <w:rPr>
                <w:rFonts w:ascii="仿宋_GB2312" w:eastAsia="仿宋_GB2312"/>
                <w:kern w:val="0"/>
              </w:rPr>
            </w:pPr>
            <w:r>
              <w:rPr>
                <w:rFonts w:hint="eastAsia" w:ascii="仿宋_GB2312" w:eastAsia="仿宋_GB2312"/>
                <w:kern w:val="0"/>
              </w:rPr>
              <w:t>98%</w:t>
            </w:r>
          </w:p>
        </w:tc>
        <w:tc>
          <w:tcPr>
            <w:tcW w:w="1305" w:type="dxa"/>
            <w:vAlign w:val="center"/>
          </w:tcPr>
          <w:p>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780"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65"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single" w:color="auto"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single" w:color="auto" w:sz="4" w:space="0"/>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390" w:type="dxa"/>
            <w:vAlign w:val="center"/>
          </w:tcPr>
          <w:p>
            <w:pPr>
              <w:spacing w:line="240" w:lineRule="auto"/>
              <w:jc w:val="both"/>
              <w:rPr>
                <w:rFonts w:ascii="仿宋_GB2312" w:eastAsia="仿宋_GB2312"/>
                <w:kern w:val="0"/>
              </w:rPr>
            </w:pPr>
            <w:r>
              <w:rPr>
                <w:rFonts w:hint="eastAsia" w:ascii="仿宋_GB2312" w:eastAsia="仿宋_GB2312"/>
                <w:kern w:val="0"/>
              </w:rPr>
              <w:t>控制在财政预算内</w:t>
            </w:r>
          </w:p>
        </w:tc>
        <w:tc>
          <w:tcPr>
            <w:tcW w:w="1455" w:type="dxa"/>
            <w:vAlign w:val="center"/>
          </w:tcPr>
          <w:p>
            <w:pPr>
              <w:spacing w:line="240" w:lineRule="auto"/>
              <w:jc w:val="center"/>
              <w:rPr>
                <w:rFonts w:ascii="仿宋_GB2312" w:eastAsia="仿宋_GB2312"/>
                <w:kern w:val="0"/>
              </w:rPr>
            </w:pPr>
            <w:r>
              <w:rPr>
                <w:rFonts w:hint="eastAsia" w:ascii="仿宋_GB2312" w:eastAsia="仿宋_GB2312"/>
                <w:kern w:val="0"/>
              </w:rPr>
              <w:t>851.32万元</w:t>
            </w:r>
          </w:p>
        </w:tc>
        <w:tc>
          <w:tcPr>
            <w:tcW w:w="1305" w:type="dxa"/>
            <w:vAlign w:val="center"/>
          </w:tcPr>
          <w:p>
            <w:pPr>
              <w:spacing w:line="240" w:lineRule="auto"/>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851.32万元</w:t>
            </w:r>
          </w:p>
        </w:tc>
        <w:tc>
          <w:tcPr>
            <w:tcW w:w="780"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65"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390"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对社会发展可能造成的负面影响</w:t>
            </w:r>
          </w:p>
        </w:tc>
        <w:tc>
          <w:tcPr>
            <w:tcW w:w="1455"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无</w:t>
            </w:r>
          </w:p>
        </w:tc>
        <w:tc>
          <w:tcPr>
            <w:tcW w:w="1305"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无</w:t>
            </w:r>
          </w:p>
        </w:tc>
        <w:tc>
          <w:tcPr>
            <w:tcW w:w="780"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390"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对自然生态环境造成的负面影响</w:t>
            </w:r>
          </w:p>
        </w:tc>
        <w:tc>
          <w:tcPr>
            <w:tcW w:w="1455"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无</w:t>
            </w:r>
          </w:p>
        </w:tc>
        <w:tc>
          <w:tcPr>
            <w:tcW w:w="1305"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无</w:t>
            </w:r>
          </w:p>
        </w:tc>
        <w:tc>
          <w:tcPr>
            <w:tcW w:w="780"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65"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112"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7322"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780"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65"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112" w:type="dxa"/>
            <w:vAlign w:val="center"/>
          </w:tcPr>
          <w:p>
            <w:pPr>
              <w:spacing w:line="240" w:lineRule="auto"/>
              <w:ind w:firstLine="420"/>
              <w:jc w:val="center"/>
              <w:rPr>
                <w:rFonts w:ascii="仿宋_GB2312" w:eastAsia="仿宋_GB2312"/>
                <w:kern w:val="0"/>
              </w:rPr>
            </w:pPr>
          </w:p>
        </w:tc>
      </w:tr>
    </w:tbl>
    <w:p>
      <w:pPr>
        <w:spacing w:before="117" w:line="219" w:lineRule="auto"/>
        <w:jc w:val="left"/>
        <w:rPr>
          <w:rFonts w:hint="eastAsia"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柳灿</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2023年6月5日</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15292005668</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葛思卉</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 xml:space="preserve">汨罗市建筑工程服务中心        </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汨罗市建筑工程服务中心(盖章)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年</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spacing w:val="-13"/>
          <w:kern w:val="0"/>
          <w:sz w:val="32"/>
          <w:szCs w:val="32"/>
          <w:lang w:eastAsia="zh-CN"/>
        </w:rPr>
        <w:t>月</w:t>
      </w:r>
      <w:r>
        <w:rPr>
          <w:rFonts w:hint="eastAsia" w:ascii="楷体_GB2312" w:hAnsi="楷体" w:eastAsia="楷体_GB2312" w:cs="楷体"/>
          <w:spacing w:val="-13"/>
          <w:kern w:val="0"/>
          <w:sz w:val="32"/>
          <w:szCs w:val="32"/>
          <w:lang w:val="en-US" w:eastAsia="zh-CN"/>
        </w:rPr>
        <w:t>5</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60"/>
          <w:sz w:val="40"/>
          <w:szCs w:val="40"/>
          <w:lang w:val="en-US" w:eastAsia="zh-CN"/>
        </w:rPr>
        <w:t>建筑工程服务中心</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640" w:firstLineChars="200"/>
        <w:jc w:val="both"/>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（一）职能职责：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right="0"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1、贯彻执行国家和省、市制订的有关建筑行业管理法律、法规和方针、政策；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2、负责全市建筑市场和工程建设监理市场的管理，根据“同城合一”原则，对城区所有建设工程项目实施统一报建、统一招投标、统一质量、安全监督和工程竣工验收备案，统一核发施工许可证，统一审查施工、监理合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3、负责全市建设工程招标投标的管理与监督，依法建立评委、审委专家库；提供建设工程交易场所，收集、储存和发布各类工程、企业状况和材料价格信息；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4、负责全市建筑企业、装饰装修企业、监理、检测、招标代理机构、造价咨询等单位资质管理以及建筑业统计和各类专业技术人员的培训发证，负责对全市建筑行业的监督与指导；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5、负责全市建设工程质量监督管理、工程竣工验收备案管理和试验、检测管理；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6、负责全市建设工程定额、工程造价和工程造价咨询市场管理；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7、负责全市建筑工程、非住宅室内装饰装修及所有建筑物外墙装饰装修活动的监督管理和工程施工安全监督管理；</w:t>
      </w:r>
    </w:p>
    <w:p>
      <w:pPr>
        <w:kinsoku w:val="0"/>
        <w:autoSpaceDE w:val="0"/>
        <w:autoSpaceDN w:val="0"/>
        <w:adjustRightInd w:val="0"/>
        <w:snapToGrid w:val="0"/>
        <w:spacing w:before="211" w:line="224" w:lineRule="auto"/>
        <w:ind w:firstLine="64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8、承办主管单位交办的其他事项。</w:t>
      </w:r>
    </w:p>
    <w:p>
      <w:pPr>
        <w:kinsoku w:val="0"/>
        <w:autoSpaceDE w:val="0"/>
        <w:autoSpaceDN w:val="0"/>
        <w:adjustRightInd w:val="0"/>
        <w:snapToGrid w:val="0"/>
        <w:spacing w:before="211" w:line="224" w:lineRule="auto"/>
        <w:ind w:firstLine="640"/>
        <w:jc w:val="both"/>
        <w:textAlignment w:val="baseline"/>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（二）组织结构，人员编制：</w:t>
      </w:r>
    </w:p>
    <w:p>
      <w:pPr>
        <w:kinsoku w:val="0"/>
        <w:autoSpaceDE w:val="0"/>
        <w:autoSpaceDN w:val="0"/>
        <w:adjustRightInd w:val="0"/>
        <w:snapToGrid w:val="0"/>
        <w:spacing w:before="211" w:line="224" w:lineRule="auto"/>
        <w:ind w:firstLine="640"/>
        <w:jc w:val="both"/>
        <w:textAlignment w:val="baseline"/>
        <w:rPr>
          <w:rFonts w:hint="default"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我单位是住建局下属副科级二级机构，下设10个站室，现有干职工76人，其中在编58人，退休干职工18人，为全额拨款事业单位，执行新政府会计制度。</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0"/>
        <w:spacing w:line="600" w:lineRule="exact"/>
        <w:ind w:firstLine="643"/>
        <w:jc w:val="both"/>
        <w:rPr>
          <w:rFonts w:hint="eastAsia"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基本支出838.8万元，是指为保障单位机构正常运转、完成日常工作任务而发生的各项支出，包括用于基本工资、津贴补贴等人员经费以及办公费、印刷费、水电费、差旅费等日常公用经费。其中人员支出728.95万元，占基本支出86.9%，公用支出109.85万元，占基本支出13.1%。</w:t>
      </w:r>
    </w:p>
    <w:p>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pStyle w:val="10"/>
        <w:spacing w:line="600" w:lineRule="exact"/>
        <w:ind w:firstLine="643"/>
        <w:jc w:val="both"/>
        <w:rPr>
          <w:rFonts w:hint="default" w:ascii="Times New Roman" w:hAnsi="Times New Roman" w:eastAsia="仿宋_GB2312"/>
          <w:kern w:val="0"/>
          <w:sz w:val="32"/>
          <w:szCs w:val="32"/>
          <w:lang w:val="en-US" w:eastAsia="zh-CN"/>
        </w:rPr>
      </w:pPr>
      <w:r>
        <w:rPr>
          <w:rFonts w:hint="eastAsia" w:ascii="Times New Roman" w:hAnsi="Times New Roman" w:eastAsia="仿宋_GB2312"/>
          <w:kern w:val="0"/>
          <w:sz w:val="32"/>
          <w:szCs w:val="32"/>
          <w:lang w:val="en-US" w:eastAsia="zh-CN"/>
        </w:rPr>
        <w:t>2022年项目支出数为12.52万元，是指单位为完成特定行政工作任务和事业发展目标而发生的支出，包括有关业务工作经费和运行维护经费。</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spacing w:line="600" w:lineRule="exact"/>
        <w:ind w:firstLine="640" w:firstLineChars="200"/>
        <w:jc w:val="both"/>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2022年度本单位无政府性基金预算支出</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spacing w:line="600" w:lineRule="exact"/>
        <w:ind w:firstLine="640" w:firstLineChars="200"/>
        <w:jc w:val="both"/>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2022年度本单位无国有资本经营预算支出</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pPr>
        <w:spacing w:line="600" w:lineRule="exact"/>
        <w:ind w:firstLine="640" w:firstLineChars="200"/>
        <w:jc w:val="both"/>
        <w:rPr>
          <w:rFonts w:hint="default" w:ascii="方正黑体_GBK" w:eastAsia="方正黑体_GBK"/>
          <w:kern w:val="0"/>
          <w:sz w:val="32"/>
          <w:szCs w:val="32"/>
          <w:lang w:val="en-US" w:eastAsia="zh-CN"/>
        </w:rPr>
      </w:pPr>
      <w:r>
        <w:rPr>
          <w:rFonts w:hint="eastAsia" w:ascii="Times New Roman" w:hAnsi="Times New Roman" w:eastAsia="仿宋_GB2312" w:cs="Arial"/>
          <w:snapToGrid w:val="0"/>
          <w:color w:val="000000"/>
          <w:kern w:val="0"/>
          <w:sz w:val="32"/>
          <w:szCs w:val="32"/>
          <w:lang w:val="en-US" w:eastAsia="zh-CN" w:bidi="ar-SA"/>
        </w:rPr>
        <w:t>2022年度本单位无社会保险基金预算支出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 xml:space="preserve"> 本单位2022年整体支出851.32万元，其中：基本支出838.8万元；项目支出12.52万元。我</w:t>
      </w:r>
      <w:r>
        <w:rPr>
          <w:rFonts w:hint="eastAsia" w:eastAsia="仿宋_GB2312"/>
          <w:kern w:val="0"/>
          <w:sz w:val="32"/>
          <w:szCs w:val="32"/>
          <w:lang w:val="en-US" w:eastAsia="zh-CN"/>
        </w:rPr>
        <w:t>服务</w:t>
      </w:r>
      <w:r>
        <w:rPr>
          <w:rFonts w:hint="eastAsia" w:eastAsia="仿宋_GB2312"/>
          <w:kern w:val="0"/>
          <w:sz w:val="32"/>
          <w:szCs w:val="32"/>
          <w:lang w:eastAsia="zh-CN"/>
        </w:rPr>
        <w:t>中心在局党组的正确领导下，贯彻落实市委、市政府工作部署，按照“疫情要防住、经济要稳住、发展要安全的”总体要求，统筹做好建筑领域疫情防控和生产安全，推动建筑行业稳定发展。认真开展建筑领域各项工作，深入开展安全隐患排查治理、招投标整治、农民工工作、混凝土专项整治等工作，采取勤走一线、优化服务，多查多督、严整改、强执法的方式，保证了全市建筑领域疫情防控、安全生产形势稳定；推动了扬尘防治、农民工工资实名制、非法混凝土站点整治等专项工作的落实。2022年度我市在建项目65个，总造价57.79亿元。其中房建工程项目64个，总建筑面积293.6万平方米；市政基础设施及道路工程1个。</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(一)建设工程监管智慧平台利用率还不够，还需进一步提高智慧平台使用率，借助科技手段提高管理效能。</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 xml:space="preserve">(二)在项目标后管理、质量安全监管、人员培训教育等监管工作上还存在一定短板，企业安全教育培训不够，项目关键岗位人员标后履职不到位；项目在安全生产隐患排查上不主动、不彻底，整改力度较差; 工程质量管控还不到位，部分项目存在重进度而放松质量管控的现象。                                            </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(一)推进“清廉机关”长效建设</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强化党建引领，深化“清廉机关”建设，加强领导班子和干部队伍建设，进一步加强内部管理和廉政勤政教育，以党建和廉政建设促进业务工作开展，在干部中形成“不想腐”良好廉政氛围使全体干部职工做到依法行政，执法必严。</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(二)全力推进住建智慧平台“技防”功能</w:t>
      </w:r>
    </w:p>
    <w:p>
      <w:p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eastAsia="zh-CN"/>
        </w:rPr>
        <w:t>对投资额400万以上项目全面接入住建智慧监管平台，实现扬尘、噪声、实名制。现场视频、混凝土站场、砼运输等数字化监管和视频巡查，减轻监管工作强度，提升监管效率。</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我们将该绩效自评结果作为以后年度部门预算、资金分配等工作的重要依据，对发现的问题进行整改。将根据要求，在门户网站上对该绩效自评报告进行公开。</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无</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eastAsia="仿宋_GB2312"/>
          <w:kern w:val="0"/>
          <w:sz w:val="32"/>
          <w:szCs w:val="32"/>
          <w:lang w:eastAsia="zh-CN"/>
        </w:rPr>
      </w:pPr>
    </w:p>
    <w:sectPr>
      <w:footerReference r:id="rId5"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TY5MmRlNzQwNmE5Y2I3ZWQ3MTRlN2Q1NDljNjQ2MTcifQ=="/>
  </w:docVars>
  <w:rsids>
    <w:rsidRoot w:val="00000000"/>
    <w:rsid w:val="01AF3811"/>
    <w:rsid w:val="02226D1D"/>
    <w:rsid w:val="03795BF7"/>
    <w:rsid w:val="050D40FB"/>
    <w:rsid w:val="07E54C08"/>
    <w:rsid w:val="086E756B"/>
    <w:rsid w:val="0A2B1A87"/>
    <w:rsid w:val="0ACF37E5"/>
    <w:rsid w:val="0B400BC6"/>
    <w:rsid w:val="0E68228D"/>
    <w:rsid w:val="0EF05B84"/>
    <w:rsid w:val="0F3E1595"/>
    <w:rsid w:val="0F5E06C2"/>
    <w:rsid w:val="15276E52"/>
    <w:rsid w:val="164519C1"/>
    <w:rsid w:val="19D32FBC"/>
    <w:rsid w:val="1D150C26"/>
    <w:rsid w:val="1E6A4395"/>
    <w:rsid w:val="25557A3D"/>
    <w:rsid w:val="26EA5ED7"/>
    <w:rsid w:val="27A93B82"/>
    <w:rsid w:val="27D30744"/>
    <w:rsid w:val="292C2C40"/>
    <w:rsid w:val="2AE00186"/>
    <w:rsid w:val="2AF45D26"/>
    <w:rsid w:val="2D690B1A"/>
    <w:rsid w:val="2F515A51"/>
    <w:rsid w:val="308216BE"/>
    <w:rsid w:val="34FE1149"/>
    <w:rsid w:val="368C49ED"/>
    <w:rsid w:val="3A550786"/>
    <w:rsid w:val="3B7A130F"/>
    <w:rsid w:val="3BF20AB3"/>
    <w:rsid w:val="3D6C410F"/>
    <w:rsid w:val="3F4540ED"/>
    <w:rsid w:val="4F8B6063"/>
    <w:rsid w:val="52FA3F96"/>
    <w:rsid w:val="55850F17"/>
    <w:rsid w:val="57AE6D93"/>
    <w:rsid w:val="5ACE0195"/>
    <w:rsid w:val="5D92180E"/>
    <w:rsid w:val="5FB623A7"/>
    <w:rsid w:val="60850C7E"/>
    <w:rsid w:val="629F6DB4"/>
    <w:rsid w:val="65CB4812"/>
    <w:rsid w:val="69C8232E"/>
    <w:rsid w:val="6E3851B0"/>
    <w:rsid w:val="70124382"/>
    <w:rsid w:val="723E589A"/>
    <w:rsid w:val="7ED67756"/>
    <w:rsid w:val="7F7E05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3234</Words>
  <Characters>3569</Characters>
  <TotalTime>514</TotalTime>
  <ScaleCrop>false</ScaleCrop>
  <LinksUpToDate>false</LinksUpToDate>
  <CharactersWithSpaces>3737</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李加贝</cp:lastModifiedBy>
  <cp:lastPrinted>2024-05-21T14:05:00Z</cp:lastPrinted>
  <dcterms:modified xsi:type="dcterms:W3CDTF">2024-06-28T07:06:45Z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04B29B550DDC4443BC60E855820BFFA9_13</vt:lpwstr>
  </property>
</Properties>
</file>