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  <w:rPr>
          <w:rFonts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  <w:t>附件1</w:t>
      </w:r>
    </w:p>
    <w:p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年度部门整体支出绩效评价基础</w:t>
      </w:r>
    </w:p>
    <w:p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数据表</w:t>
      </w:r>
    </w:p>
    <w:p>
      <w:pPr>
        <w:spacing w:line="177" w:lineRule="exact"/>
        <w:ind w:firstLine="420"/>
        <w:jc w:val="left"/>
        <w:rPr>
          <w:kern w:val="0"/>
          <w:lang w:eastAsia="zh-CN"/>
        </w:rPr>
      </w:pPr>
    </w:p>
    <w:tbl>
      <w:tblPr>
        <w:tblStyle w:val="7"/>
        <w:tblW w:w="94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1"/>
        <w:gridCol w:w="1158"/>
        <w:gridCol w:w="958"/>
        <w:gridCol w:w="960"/>
        <w:gridCol w:w="1079"/>
        <w:gridCol w:w="1039"/>
        <w:gridCol w:w="9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财政供养人员情况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人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编制数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年实际在职人数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控制率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14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11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78.57%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经费控制情况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</w:rPr>
              <w:t>年决算数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年预算数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年决算数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  <w:t>“</w:t>
            </w:r>
            <w:r>
              <w:rPr>
                <w:rFonts w:hint="eastAsia" w:ascii="仿宋_GB2312" w:hAnsi="宋体" w:eastAsia="仿宋_GB2312" w:cs="宋体"/>
                <w:kern w:val="0"/>
              </w:rPr>
              <w:t>三公</w:t>
            </w:r>
            <w:r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  <w:t>”</w:t>
            </w:r>
            <w:r>
              <w:rPr>
                <w:rFonts w:hint="eastAsia" w:ascii="仿宋_GB2312" w:hAnsi="宋体" w:eastAsia="仿宋_GB2312" w:cs="宋体"/>
                <w:kern w:val="0"/>
              </w:rPr>
              <w:t>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0.1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、公务用车购置和维护经费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840" w:firstLineChars="4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其中：公车购置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</w:rPr>
              <w:t>公车运行维护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、出国经费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</w:rPr>
              <w:t>、公务接待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0.1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项目支出：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</w:rPr>
              <w:t>、业务工作经费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、运行维护经费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、县级专项资金</w:t>
            </w:r>
          </w:p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一个专项一行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公用经费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78.9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16.02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23.62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其中：办公经费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4.39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1.2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</w:rPr>
              <w:t>水费、电费、差旅费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2.51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2.5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1050" w:firstLineChars="5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会议费、培训费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政府采购金额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部门基本支出预算调整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楼堂馆所控制情况</w:t>
            </w: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(202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年完工项目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)</w:t>
            </w:r>
          </w:p>
        </w:tc>
        <w:tc>
          <w:tcPr>
            <w:tcW w:w="115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批复规模</w:t>
            </w:r>
            <w:r>
              <w:rPr>
                <w:rFonts w:hint="eastAsia" w:ascii="仿宋_GB2312" w:eastAsia="仿宋_GB2312"/>
                <w:kern w:val="0"/>
              </w:rPr>
              <w:t xml:space="preserve"> (m</w:t>
            </w:r>
            <w:r>
              <w:rPr>
                <w:rFonts w:hint="eastAsia" w:eastAsia="仿宋_GB2312"/>
                <w:kern w:val="0"/>
              </w:rPr>
              <w:t>²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5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实际规模</w:t>
            </w:r>
            <w:r>
              <w:rPr>
                <w:rFonts w:hint="eastAsia" w:ascii="仿宋_GB2312" w:eastAsia="仿宋_GB2312"/>
                <w:kern w:val="0"/>
              </w:rPr>
              <w:t>(m</w:t>
            </w:r>
            <w:r>
              <w:rPr>
                <w:rFonts w:hint="eastAsia" w:eastAsia="仿宋_GB2312"/>
                <w:kern w:val="0"/>
              </w:rPr>
              <w:t>²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60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规模控制率</w:t>
            </w:r>
          </w:p>
        </w:tc>
        <w:tc>
          <w:tcPr>
            <w:tcW w:w="107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预算投资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3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实际投资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4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投</w:t>
            </w:r>
            <w:r>
              <w:rPr>
                <w:rFonts w:hint="eastAsia" w:ascii="仿宋_GB2312" w:hAnsi="宋体" w:eastAsia="仿宋_GB2312" w:cs="宋体"/>
                <w:kern w:val="0"/>
              </w:rPr>
              <w:t>资概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算控</w:t>
            </w:r>
            <w:r>
              <w:rPr>
                <w:rFonts w:hint="eastAsia" w:ascii="仿宋_GB2312" w:hAnsi="宋体" w:eastAsia="仿宋_GB2312" w:cs="宋体"/>
                <w:kern w:val="0"/>
              </w:rPr>
              <w:t>制率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8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58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60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079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039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4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271" w:type="dxa"/>
            <w:vAlign w:val="center"/>
          </w:tcPr>
          <w:p>
            <w:pPr>
              <w:spacing w:before="128" w:line="201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ascii="仿宋_GB2312" w:hAnsi="宋体" w:eastAsia="仿宋_GB2312" w:cs="宋体"/>
                <w:kern w:val="0"/>
                <w:lang w:eastAsia="zh-CN"/>
              </w:rPr>
              <w:t>厉行节约保障措施</w:t>
            </w:r>
          </w:p>
        </w:tc>
        <w:tc>
          <w:tcPr>
            <w:tcW w:w="6138" w:type="dxa"/>
            <w:gridSpan w:val="6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eastAsia="宋体"/>
                <w:lang w:eastAsia="zh-CN"/>
              </w:rPr>
              <w:t>严控差旅、接待、会议等办公经费支出，既要加大力度，严格控制费用支出，也要实事求是，确属必需的费用，该支出的要支出；该投入的要投入。重点是减少和压缩不必要、不合理、不紧急的支出项目，节省费用空间。</w:t>
            </w:r>
          </w:p>
        </w:tc>
      </w:tr>
    </w:tbl>
    <w:p>
      <w:pPr>
        <w:spacing w:line="240" w:lineRule="auto"/>
        <w:jc w:val="left"/>
        <w:rPr>
          <w:rFonts w:ascii="仿宋_GB2312" w:eastAsia="仿宋_GB2312"/>
          <w:kern w:val="0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说明：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项目支出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需要填报基本支出以外的所有项目支出情况，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公用经费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填报基本支出中的一般商品和服务支出。</w:t>
      </w:r>
    </w:p>
    <w:p>
      <w:pPr>
        <w:kinsoku w:val="0"/>
        <w:autoSpaceDE w:val="0"/>
        <w:autoSpaceDN w:val="0"/>
        <w:adjustRightInd w:val="0"/>
        <w:snapToGrid w:val="0"/>
        <w:spacing w:before="65" w:line="228" w:lineRule="auto"/>
        <w:ind w:firstLine="102" w:firstLineChars="49"/>
        <w:textAlignment w:val="baseline"/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填表人：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伏思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 填报日期：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2023.6.25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联系电话：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15842828750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 单位负责人签字：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霍坤</w:t>
      </w:r>
    </w:p>
    <w:p>
      <w:pPr>
        <w:spacing w:line="228" w:lineRule="auto"/>
        <w:ind w:firstLine="400"/>
        <w:rPr>
          <w:rFonts w:eastAsiaTheme="minorEastAsia"/>
          <w:sz w:val="20"/>
          <w:szCs w:val="20"/>
          <w:lang w:eastAsia="zh-CN"/>
        </w:rPr>
        <w:sectPr>
          <w:footerReference r:id="rId5" w:type="default"/>
          <w:footerReference r:id="rId6" w:type="even"/>
          <w:pgSz w:w="11907" w:h="16839"/>
          <w:pgMar w:top="2098" w:right="1474" w:bottom="1985" w:left="1474" w:header="0" w:footer="1588" w:gutter="0"/>
          <w:pgNumType w:fmt="numberInDash"/>
          <w:cols w:space="720" w:num="1"/>
          <w:titlePg/>
          <w:docGrid w:linePitch="286" w:charSpace="0"/>
        </w:sectPr>
      </w:pPr>
    </w:p>
    <w:p>
      <w:pPr>
        <w:spacing w:before="117" w:line="219" w:lineRule="auto"/>
        <w:ind w:firstLine="616"/>
        <w:jc w:val="left"/>
        <w:rPr>
          <w:rFonts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  <w:t>附件2</w:t>
      </w:r>
    </w:p>
    <w:p>
      <w:pPr>
        <w:spacing w:before="117" w:line="219" w:lineRule="auto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年度部门整体支出绩效自评表</w:t>
      </w:r>
    </w:p>
    <w:p>
      <w:pPr>
        <w:spacing w:line="237" w:lineRule="exact"/>
        <w:ind w:firstLine="420"/>
        <w:jc w:val="left"/>
        <w:rPr>
          <w:kern w:val="0"/>
          <w:lang w:eastAsia="zh-CN"/>
        </w:rPr>
      </w:pPr>
    </w:p>
    <w:tbl>
      <w:tblPr>
        <w:tblStyle w:val="7"/>
        <w:tblW w:w="9979" w:type="dxa"/>
        <w:tblInd w:w="-7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069"/>
        <w:gridCol w:w="1029"/>
        <w:gridCol w:w="1249"/>
        <w:gridCol w:w="1298"/>
        <w:gridCol w:w="1269"/>
        <w:gridCol w:w="699"/>
        <w:gridCol w:w="869"/>
        <w:gridCol w:w="14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07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预算部门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名称</w:t>
            </w:r>
          </w:p>
        </w:tc>
        <w:tc>
          <w:tcPr>
            <w:tcW w:w="8905" w:type="dxa"/>
            <w:gridSpan w:val="8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汨罗市玉池国有林场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年度预算申请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年初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预算数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预算数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执行数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执行率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年度资金总额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106.92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106.92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115.67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108.18%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按收入性质分：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按支出性质分：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其中：一般公共预算：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106.92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其中：基本支出：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106.92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政府性基金拨款：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项目支出：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纳入专户管理的非税收入拨款：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其他资金：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年度总体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</w:rPr>
              <w:t>目标</w:t>
            </w: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预期目标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tabs>
                <w:tab w:val="left" w:pos="761"/>
                <w:tab w:val="center" w:pos="2395"/>
              </w:tabs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ab/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ab/>
            </w:r>
            <w:r>
              <w:rPr>
                <w:rFonts w:hint="eastAsia" w:ascii="仿宋_GB2312" w:hAnsi="宋体" w:eastAsia="仿宋_GB2312" w:cs="宋体"/>
                <w:kern w:val="0"/>
              </w:rPr>
              <w:t>实际完成情况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500亩造林、1000亩森林抚育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500亩造林、1000亩森林抚育已完成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74" w:type="dxa"/>
            <w:vMerge w:val="restart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绩效指标</w:t>
            </w: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一级指标</w:t>
            </w:r>
          </w:p>
        </w:tc>
        <w:tc>
          <w:tcPr>
            <w:tcW w:w="102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二级指标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三级指标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年度指标值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实际完成值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偏差原因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分析及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产出指标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kern w:val="0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29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数量指标</w:t>
            </w:r>
          </w:p>
        </w:tc>
        <w:tc>
          <w:tcPr>
            <w:tcW w:w="1249" w:type="dxa"/>
            <w:vAlign w:val="center"/>
          </w:tcPr>
          <w:p>
            <w:pPr>
              <w:tabs>
                <w:tab w:val="left" w:pos="200"/>
              </w:tabs>
              <w:spacing w:line="240" w:lineRule="auto"/>
              <w:ind w:firstLine="420" w:firstLineChars="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500亩造林、1000亩森林抚育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210" w:firstLineChars="10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高质量完成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完成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质量指标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500亩造林、1000亩森林抚育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] 高质量完成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完成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时效指标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1-4月、10-12月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210" w:firstLineChars="100"/>
              <w:jc w:val="both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按时完成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95%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9.5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9.5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由于天气原因，时效延长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效益指标</w:t>
            </w:r>
            <w:r>
              <w:rPr>
                <w:rFonts w:hint="eastAsia" w:ascii="仿宋_GB2312" w:eastAsia="仿宋_GB2312"/>
                <w:kern w:val="0"/>
              </w:rPr>
              <w:t>(30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29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经济效益指标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增加职工、群众的劳务收入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210" w:firstLineChars="100"/>
              <w:jc w:val="both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高效完成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完成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eastAsia" w:ascii="仿宋_GB2312" w:eastAsia="仿宋_GB2312"/>
                <w:kern w:val="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社会效益指标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增加职工、群众的劳务收入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210" w:firstLineChars="1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高效完成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90%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 w:firstLineChars="0"/>
              <w:jc w:val="left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无法满足所有职工增加收入：增加造林面积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生态效益指标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涵养水源、恢复生态环境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210" w:firstLineChars="1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持续推进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可持续影响指标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生态平衡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210" w:firstLineChars="1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健康推进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107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满意度指标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(10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服务对象满意度指标</w:t>
            </w:r>
          </w:p>
        </w:tc>
        <w:tc>
          <w:tcPr>
            <w:tcW w:w="1249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满意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成本指标</w:t>
            </w:r>
          </w:p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（20分）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经济成本指标</w:t>
            </w:r>
          </w:p>
        </w:tc>
        <w:tc>
          <w:tcPr>
            <w:tcW w:w="1249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600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restart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社会成本指标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生态环境成本指标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1298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988" w:type="dxa"/>
            <w:gridSpan w:val="6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总分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100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</w:tbl>
    <w:p>
      <w:pPr>
        <w:kinsoku w:val="0"/>
        <w:autoSpaceDE w:val="0"/>
        <w:autoSpaceDN w:val="0"/>
        <w:adjustRightInd w:val="0"/>
        <w:snapToGrid w:val="0"/>
        <w:spacing w:before="293" w:line="236" w:lineRule="auto"/>
        <w:textAlignment w:val="baseline"/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填表人：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伏思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填报日期：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2023.06.25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联系电话：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15842828750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单位负责人签字：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霍坤</w:t>
      </w:r>
      <w:r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  <w:t xml:space="preserve"> </w:t>
      </w: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</w:pPr>
      <w:r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  <w:t>附件3</w:t>
      </w:r>
    </w:p>
    <w:p>
      <w:pPr>
        <w:spacing w:before="91" w:line="219" w:lineRule="auto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年度项目支出绩效自评表</w:t>
      </w:r>
    </w:p>
    <w:p>
      <w:pPr>
        <w:spacing w:line="95" w:lineRule="exact"/>
        <w:ind w:firstLine="420"/>
        <w:jc w:val="left"/>
        <w:rPr>
          <w:kern w:val="0"/>
          <w:lang w:eastAsia="zh-CN"/>
        </w:rPr>
      </w:pPr>
    </w:p>
    <w:tbl>
      <w:tblPr>
        <w:tblStyle w:val="7"/>
        <w:tblW w:w="959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1059"/>
        <w:gridCol w:w="1218"/>
        <w:gridCol w:w="1020"/>
        <w:gridCol w:w="1099"/>
        <w:gridCol w:w="1099"/>
        <w:gridCol w:w="809"/>
        <w:gridCol w:w="849"/>
        <w:gridCol w:w="13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05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项目支出名称</w:t>
            </w:r>
          </w:p>
        </w:tc>
        <w:tc>
          <w:tcPr>
            <w:tcW w:w="8536" w:type="dxa"/>
            <w:gridSpan w:val="8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主管部门</w:t>
            </w:r>
          </w:p>
        </w:tc>
        <w:tc>
          <w:tcPr>
            <w:tcW w:w="4396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实施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单位</w:t>
            </w:r>
          </w:p>
        </w:tc>
        <w:tc>
          <w:tcPr>
            <w:tcW w:w="3041" w:type="dxa"/>
            <w:gridSpan w:val="3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项目资金 </w:t>
            </w:r>
            <w:r>
              <w:rPr>
                <w:rFonts w:ascii="仿宋_GB2312" w:hAnsi="宋体" w:eastAsia="仿宋_GB2312" w:cs="宋体"/>
                <w:kern w:val="0"/>
                <w:lang w:eastAsia="zh-CN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万元</w:t>
            </w:r>
            <w:r>
              <w:rPr>
                <w:rFonts w:ascii="仿宋_GB2312" w:hAnsi="宋体" w:eastAsia="仿宋_GB2312" w:cs="宋体"/>
                <w:kern w:val="0"/>
                <w:lang w:eastAsia="zh-CN"/>
              </w:rPr>
              <w:t>)</w:t>
            </w: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年初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执行数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分值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执行率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年度资金总额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ascii="仿宋_GB2312" w:hAnsi="宋体" w:eastAsia="仿宋_GB2312" w:cs="宋体"/>
                <w:kern w:val="0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其中：当年财政拨款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上年结转资金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其他资金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年度总体目标</w:t>
            </w:r>
          </w:p>
        </w:tc>
        <w:tc>
          <w:tcPr>
            <w:tcW w:w="4396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预期目标</w:t>
            </w:r>
          </w:p>
        </w:tc>
        <w:tc>
          <w:tcPr>
            <w:tcW w:w="414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414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054" w:type="dxa"/>
            <w:vMerge w:val="restart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绩效指标</w:t>
            </w:r>
          </w:p>
        </w:tc>
        <w:tc>
          <w:tcPr>
            <w:tcW w:w="105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一级指标</w:t>
            </w:r>
          </w:p>
        </w:tc>
        <w:tc>
          <w:tcPr>
            <w:tcW w:w="121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二级指标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三级指标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年度指标值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实际完成值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偏差原因分析及改进措施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产出指标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3</w:t>
            </w:r>
            <w:r>
              <w:rPr>
                <w:rFonts w:ascii="仿宋_GB2312" w:hAnsi="宋体" w:eastAsia="仿宋_GB2312" w:cs="宋体"/>
                <w:kern w:val="0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数量指标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质量指标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时效指标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效益指标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(30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经济效益指标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社会效益指标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生态效益指标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可持续影响指标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满意度指标</w:t>
            </w:r>
            <w:r>
              <w:rPr>
                <w:rFonts w:ascii="仿宋_GB2312" w:hAnsi="宋体" w:eastAsia="仿宋_GB2312" w:cs="宋体"/>
                <w:kern w:val="0"/>
              </w:rPr>
              <w:t>(10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服务对象满意度指标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成本指标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（20分）</w:t>
            </w:r>
          </w:p>
        </w:tc>
        <w:tc>
          <w:tcPr>
            <w:tcW w:w="1218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经济成本指标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社会成本指标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生态环境成本指标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6549" w:type="dxa"/>
            <w:gridSpan w:val="6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总分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100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</w:tbl>
    <w:p>
      <w:pPr>
        <w:spacing w:before="52" w:line="219" w:lineRule="auto"/>
        <w:jc w:val="left"/>
        <w:rPr>
          <w:rFonts w:ascii="仿宋_GB2312" w:hAnsi="宋体" w:eastAsia="仿宋_GB2312" w:cs="宋体"/>
          <w:kern w:val="0"/>
          <w:lang w:eastAsia="zh-CN"/>
        </w:rPr>
      </w:pPr>
      <w:r>
        <w:rPr>
          <w:rFonts w:ascii="仿宋_GB2312" w:hAnsi="宋体" w:eastAsia="仿宋_GB2312" w:cs="宋体"/>
          <w:kern w:val="0"/>
          <w:lang w:eastAsia="zh-CN"/>
        </w:rPr>
        <w:t>备注： 一个一级项目支出一张表。如，业务工作经费，运行维护经费，其他事业发展类资金…各一张表.</w:t>
      </w:r>
    </w:p>
    <w:p>
      <w:pPr>
        <w:spacing w:line="240" w:lineRule="auto"/>
        <w:ind w:firstLine="420"/>
        <w:jc w:val="left"/>
        <w:rPr>
          <w:rFonts w:ascii="宋体" w:hAnsi="宋体" w:eastAsia="宋体" w:cs="宋体"/>
          <w:kern w:val="0"/>
          <w:lang w:eastAsia="zh-CN"/>
        </w:rPr>
      </w:pPr>
    </w:p>
    <w:p>
      <w:pPr>
        <w:rPr>
          <w:rFonts w:ascii="仿宋_GB2312" w:hAnsi="宋体" w:eastAsia="仿宋_GB2312" w:cs="宋体"/>
          <w:lang w:eastAsia="zh-CN"/>
        </w:rPr>
        <w:sectPr>
          <w:footerReference r:id="rId7" w:type="default"/>
          <w:pgSz w:w="11907" w:h="16839"/>
          <w:pgMar w:top="1531" w:right="1474" w:bottom="1531" w:left="1587" w:header="0" w:footer="1588" w:gutter="0"/>
          <w:pgNumType w:fmt="numberInDash"/>
          <w:cols w:space="720" w:num="1"/>
          <w:docGrid w:linePitch="286" w:charSpace="0"/>
        </w:sectPr>
      </w:pPr>
      <w:r>
        <w:rPr>
          <w:rFonts w:hint="eastAsia" w:ascii="仿宋_GB2312" w:hAnsi="宋体" w:eastAsia="仿宋_GB2312" w:cs="宋体"/>
          <w:kern w:val="0"/>
          <w:lang w:eastAsia="zh-CN"/>
        </w:rPr>
        <w:t>填表人：</w:t>
      </w:r>
      <w:r>
        <w:rPr>
          <w:rFonts w:ascii="仿宋_GB2312" w:hAnsi="宋体" w:eastAsia="仿宋_GB2312" w:cs="宋体"/>
          <w:kern w:val="0"/>
          <w:lang w:eastAsia="zh-CN"/>
        </w:rPr>
        <w:t xml:space="preserve">           </w:t>
      </w:r>
      <w:r>
        <w:rPr>
          <w:rFonts w:hint="eastAsia" w:ascii="仿宋_GB2312" w:hAnsi="宋体" w:eastAsia="仿宋_GB2312" w:cs="宋体"/>
          <w:kern w:val="0"/>
          <w:lang w:eastAsia="zh-CN"/>
        </w:rPr>
        <w:t>填报日期：</w:t>
      </w:r>
      <w:r>
        <w:rPr>
          <w:rFonts w:ascii="仿宋_GB2312" w:hAnsi="宋体" w:eastAsia="仿宋_GB2312" w:cs="宋体"/>
          <w:kern w:val="0"/>
          <w:lang w:eastAsia="zh-CN"/>
        </w:rPr>
        <w:t xml:space="preserve">            </w:t>
      </w:r>
      <w:r>
        <w:rPr>
          <w:rFonts w:hint="eastAsia" w:ascii="仿宋_GB2312" w:hAnsi="宋体" w:eastAsia="仿宋_GB2312" w:cs="宋体"/>
          <w:kern w:val="0"/>
          <w:lang w:eastAsia="zh-CN"/>
        </w:rPr>
        <w:t>联系电话：</w:t>
      </w:r>
      <w:r>
        <w:rPr>
          <w:rFonts w:ascii="仿宋_GB2312" w:hAnsi="宋体" w:eastAsia="仿宋_GB2312" w:cs="宋体"/>
          <w:kern w:val="0"/>
          <w:lang w:eastAsia="zh-CN"/>
        </w:rPr>
        <w:t xml:space="preserve">           </w:t>
      </w:r>
      <w:r>
        <w:rPr>
          <w:rFonts w:hint="eastAsia" w:ascii="仿宋_GB2312" w:hAnsi="宋体" w:eastAsia="仿宋_GB2312" w:cs="宋体"/>
          <w:kern w:val="0"/>
          <w:lang w:eastAsia="zh-CN"/>
        </w:rPr>
        <w:t>单位负责人签字:</w:t>
      </w:r>
    </w:p>
    <w:p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  <w:t>附件4</w:t>
      </w:r>
    </w:p>
    <w:p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240" w:lineRule="auto"/>
        <w:ind w:firstLine="880"/>
        <w:jc w:val="center"/>
        <w:rPr>
          <w:rFonts w:ascii="方正小标宋简体" w:eastAsia="方正小标宋简体"/>
          <w:kern w:val="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eastAsia="方正小标宋简体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年度汨罗市</w:t>
      </w: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玉池国有林场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部门整体支出绩效自评报告</w:t>
      </w: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  <w:t>部门(单位)名称：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val="en-US" w:eastAsia="zh-CN"/>
        </w:rPr>
        <w:t>汨罗市玉池国有林场</w:t>
      </w:r>
    </w:p>
    <w:p>
      <w:pPr>
        <w:spacing w:before="274" w:line="225" w:lineRule="auto"/>
        <w:ind w:firstLine="617"/>
        <w:jc w:val="center"/>
        <w:rPr>
          <w:rFonts w:ascii="楷体_GB2312" w:hAnsi="楷体" w:eastAsia="楷体_GB2312" w:cs="楷体"/>
          <w:kern w:val="0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val="en-US" w:eastAsia="zh-CN"/>
        </w:rPr>
        <w:t xml:space="preserve">2023 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 xml:space="preserve">年 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val="en-US" w:eastAsia="zh-CN"/>
        </w:rPr>
        <w:t>6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 xml:space="preserve"> 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eastAsia="zh-CN"/>
        </w:rPr>
        <w:t xml:space="preserve">月 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val="en-US" w:eastAsia="zh-CN"/>
        </w:rPr>
        <w:t>25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eastAsia="zh-CN"/>
        </w:rPr>
        <w:t xml:space="preserve"> 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>日</w:t>
      </w: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  <w:t>(此页为封面)</w:t>
      </w: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both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sdt>
      <w:sdtPr>
        <w:rPr>
          <w:rFonts w:ascii="Arial" w:hAnsi="Arial" w:eastAsia="Arial" w:cs="Arial"/>
          <w:snapToGrid w:val="0"/>
          <w:color w:val="000000"/>
          <w:sz w:val="21"/>
          <w:szCs w:val="21"/>
          <w:lang w:val="en-US" w:eastAsia="en-US" w:bidi="ar-SA"/>
        </w:rPr>
        <w:id w:val="3580075"/>
        <w:docPartObj>
          <w:docPartGallery w:val="autotext"/>
        </w:docPartObj>
      </w:sdtPr>
      <w:sdtEndPr>
        <w:rPr>
          <w:rFonts w:hint="eastAsia" w:cs="Arial" w:asciiTheme="minorEastAsia" w:hAnsiTheme="minorEastAsia" w:eastAsiaTheme="minorEastAsia"/>
          <w:snapToGrid w:val="0"/>
          <w:color w:val="000000"/>
          <w:kern w:val="0"/>
          <w:sz w:val="28"/>
          <w:szCs w:val="28"/>
          <w:lang w:val="en-US" w:eastAsia="en-US" w:bidi="ar-SA"/>
        </w:rPr>
      </w:sdtEndPr>
      <w:sdtContent>
        <w:p>
          <w:pPr>
            <w:pStyle w:val="3"/>
            <w:ind w:firstLine="360"/>
            <w:jc w:val="left"/>
            <w:rPr>
              <w:rFonts w:asciiTheme="minorEastAsia" w:hAnsiTheme="minorEastAsia" w:eastAsiaTheme="minorEastAsia"/>
              <w:kern w:val="0"/>
              <w:lang w:eastAsia="zh-CN"/>
            </w:rPr>
          </w:pPr>
        </w:p>
      </w:sdtContent>
    </w:sdt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0" w:line="221" w:lineRule="auto"/>
        <w:jc w:val="center"/>
        <w:textAlignment w:val="baseline"/>
        <w:rPr>
          <w:rFonts w:ascii="黑体" w:hAnsi="黑体" w:eastAsia="黑体" w:cs="黑体"/>
          <w:spacing w:val="16"/>
          <w:sz w:val="40"/>
          <w:szCs w:val="40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0" w:line="760" w:lineRule="exact"/>
        <w:jc w:val="center"/>
        <w:textAlignment w:val="baseline"/>
        <w:rPr>
          <w:rFonts w:ascii="黑体" w:hAnsi="黑体" w:eastAsia="黑体" w:cs="黑体"/>
          <w:spacing w:val="16"/>
          <w:sz w:val="40"/>
          <w:szCs w:val="40"/>
        </w:rPr>
      </w:pPr>
      <w:r>
        <w:rPr>
          <w:rFonts w:ascii="黑体" w:hAnsi="黑体" w:eastAsia="黑体" w:cs="黑体"/>
          <w:spacing w:val="16"/>
          <w:sz w:val="40"/>
          <w:szCs w:val="40"/>
        </w:rPr>
        <w:t>202</w:t>
      </w:r>
      <w:r>
        <w:rPr>
          <w:rFonts w:hint="eastAsia" w:ascii="黑体" w:hAnsi="黑体" w:eastAsia="黑体" w:cs="黑体"/>
          <w:spacing w:val="16"/>
          <w:sz w:val="40"/>
          <w:szCs w:val="40"/>
          <w:lang w:val="en-US" w:eastAsia="zh-CN"/>
        </w:rPr>
        <w:t>2</w:t>
      </w:r>
      <w:r>
        <w:rPr>
          <w:rFonts w:ascii="黑体" w:hAnsi="黑体" w:eastAsia="黑体" w:cs="黑体"/>
          <w:spacing w:val="16"/>
          <w:sz w:val="40"/>
          <w:szCs w:val="40"/>
        </w:rPr>
        <w:t>年度</w:t>
      </w:r>
      <w:r>
        <w:rPr>
          <w:rFonts w:hint="eastAsia" w:ascii="黑体" w:hAnsi="黑体" w:eastAsia="黑体" w:cs="黑体"/>
          <w:spacing w:val="16"/>
          <w:sz w:val="40"/>
          <w:szCs w:val="40"/>
          <w:lang w:eastAsia="zh-CN"/>
        </w:rPr>
        <w:t>汨罗市玉池国有林场</w:t>
      </w:r>
      <w:r>
        <w:rPr>
          <w:rFonts w:ascii="黑体" w:hAnsi="黑体" w:eastAsia="黑体" w:cs="黑体"/>
          <w:spacing w:val="16"/>
          <w:sz w:val="40"/>
          <w:szCs w:val="40"/>
        </w:rPr>
        <w:t>部门整体支出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0" w:line="760" w:lineRule="exact"/>
        <w:jc w:val="center"/>
        <w:textAlignment w:val="baseline"/>
        <w:rPr>
          <w:rFonts w:ascii="黑体" w:hAnsi="黑体" w:eastAsia="黑体" w:cs="黑体"/>
          <w:spacing w:val="16"/>
          <w:sz w:val="40"/>
          <w:szCs w:val="40"/>
        </w:rPr>
      </w:pPr>
      <w:r>
        <w:rPr>
          <w:rFonts w:hint="eastAsia" w:ascii="黑体" w:hAnsi="黑体" w:eastAsia="黑体" w:cs="黑体"/>
          <w:spacing w:val="16"/>
          <w:sz w:val="40"/>
          <w:szCs w:val="40"/>
          <w:lang w:eastAsia="zh-CN"/>
        </w:rPr>
        <w:t>绩</w:t>
      </w:r>
      <w:r>
        <w:rPr>
          <w:rFonts w:ascii="黑体" w:hAnsi="黑体" w:eastAsia="黑体" w:cs="黑体"/>
          <w:spacing w:val="16"/>
          <w:sz w:val="40"/>
          <w:szCs w:val="40"/>
        </w:rPr>
        <w:t>效自评报告</w:t>
      </w: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both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before="211" w:line="224" w:lineRule="auto"/>
        <w:ind w:firstLine="640"/>
        <w:jc w:val="both"/>
        <w:textAlignment w:val="baseline"/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部门</w:t>
      </w:r>
      <w:r>
        <w:rPr>
          <w:rFonts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(</w:t>
      </w: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单位</w:t>
      </w:r>
      <w:r>
        <w:rPr>
          <w:rFonts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)</w:t>
      </w: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基本情况</w:t>
      </w:r>
    </w:p>
    <w:p>
      <w:pPr>
        <w:numPr>
          <w:ilvl w:val="0"/>
          <w:numId w:val="0"/>
        </w:numPr>
        <w:spacing w:line="600" w:lineRule="exact"/>
        <w:ind w:firstLine="960" w:firstLineChars="300"/>
        <w:jc w:val="both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湖南省汨罗市玉池国有林场共有在职在编干职工11人，临聘职工8人，农牧职工101人，退休干职工96人。</w:t>
      </w:r>
    </w:p>
    <w:p>
      <w:pPr>
        <w:numPr>
          <w:ilvl w:val="0"/>
          <w:numId w:val="0"/>
        </w:numPr>
        <w:spacing w:line="600" w:lineRule="exact"/>
        <w:ind w:firstLine="640" w:firstLineChars="200"/>
        <w:jc w:val="both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2015年，玉池国有林场在国有林场改革中定性为生态公益一类事业单位，属生产与科研相结合的国有林场，下设四个分场，三个集体队，是一个集林业教学、科研、科普、科技推广示范于一体的国有林场。</w:t>
      </w:r>
    </w:p>
    <w:p>
      <w:pPr>
        <w:numPr>
          <w:ilvl w:val="0"/>
          <w:numId w:val="1"/>
        </w:numPr>
        <w:spacing w:line="600" w:lineRule="exact"/>
        <w:ind w:left="0" w:leftChars="0" w:firstLine="640" w:firstLineChars="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一般公共预算支出情况</w:t>
      </w:r>
    </w:p>
    <w:p>
      <w:pPr>
        <w:pStyle w:val="9"/>
        <w:numPr>
          <w:ilvl w:val="0"/>
          <w:numId w:val="2"/>
        </w:numPr>
        <w:spacing w:line="600" w:lineRule="exact"/>
        <w:ind w:firstLine="643"/>
        <w:jc w:val="both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方正黑体_GBK" w:hAnsi="Arial" w:eastAsia="方正黑体_GBK" w:cs="Arial"/>
          <w:snapToGrid w:val="0"/>
          <w:color w:val="000000"/>
          <w:kern w:val="0"/>
          <w:sz w:val="32"/>
          <w:szCs w:val="32"/>
          <w:lang w:val="en-US" w:eastAsia="zh-CN" w:bidi="ar-SA"/>
        </w:rPr>
        <w:t>基本支出情况</w:t>
      </w:r>
    </w:p>
    <w:p>
      <w:pPr>
        <w:pStyle w:val="9"/>
        <w:numPr>
          <w:ilvl w:val="0"/>
          <w:numId w:val="0"/>
        </w:numPr>
        <w:spacing w:line="600" w:lineRule="exact"/>
        <w:ind w:firstLine="640" w:firstLineChars="200"/>
        <w:jc w:val="both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 xml:space="preserve">按财政预算金额分项完成单位各项基本支出。 </w:t>
      </w:r>
    </w:p>
    <w:p>
      <w:pPr>
        <w:pStyle w:val="9"/>
        <w:spacing w:line="600" w:lineRule="exact"/>
        <w:ind w:left="0" w:leftChars="0" w:firstLine="640" w:firstLineChars="200"/>
        <w:jc w:val="both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专项支出：按财政下达资金按时按量完成项目建设。</w:t>
      </w:r>
    </w:p>
    <w:p>
      <w:pPr>
        <w:pStyle w:val="9"/>
        <w:spacing w:line="600" w:lineRule="exact"/>
        <w:ind w:firstLine="643"/>
        <w:jc w:val="both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1、专项资金安排落实、总投入等情况分析：所有收入支出都经财务监督委员会进行全程监督，并及时向群众公示收支情况，确保专款专用；</w:t>
      </w:r>
    </w:p>
    <w:p>
      <w:pPr>
        <w:pStyle w:val="9"/>
        <w:spacing w:line="600" w:lineRule="exact"/>
        <w:ind w:firstLine="643"/>
        <w:jc w:val="both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2、专项资金实际使用情况分析：按照财政下达资金以及项目实施方案进行项目建设，把资金控制在预算范围内，提高资金使用率；</w:t>
      </w:r>
    </w:p>
    <w:p>
      <w:pPr>
        <w:pStyle w:val="9"/>
        <w:spacing w:line="600" w:lineRule="exact"/>
        <w:ind w:firstLine="643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3、专项资金管理情况分析：资金管理按照中央一般公共预算专项资金财务管理办法，进行全面管理和监控。</w:t>
      </w:r>
    </w:p>
    <w:p>
      <w:pPr>
        <w:pStyle w:val="9"/>
        <w:numPr>
          <w:ilvl w:val="0"/>
          <w:numId w:val="3"/>
        </w:numPr>
        <w:spacing w:line="600" w:lineRule="exact"/>
        <w:ind w:firstLine="643"/>
        <w:jc w:val="both"/>
        <w:rPr>
          <w:rFonts w:hint="eastAsia" w:ascii="方正黑体_GBK" w:hAnsi="Arial" w:eastAsia="方正黑体_GBK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方正黑体_GBK" w:hAnsi="Arial" w:eastAsia="方正黑体_GBK" w:cs="Arial"/>
          <w:snapToGrid w:val="0"/>
          <w:color w:val="000000"/>
          <w:kern w:val="0"/>
          <w:sz w:val="32"/>
          <w:szCs w:val="32"/>
          <w:lang w:val="en-US" w:eastAsia="zh-CN" w:bidi="ar-SA"/>
        </w:rPr>
        <w:t>项目支出情况</w:t>
      </w:r>
    </w:p>
    <w:p>
      <w:pPr>
        <w:numPr>
          <w:ilvl w:val="0"/>
          <w:numId w:val="0"/>
        </w:numPr>
        <w:spacing w:line="600" w:lineRule="exact"/>
        <w:ind w:firstLine="640" w:firstLineChars="200"/>
        <w:jc w:val="both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本单位无项目支出预算。</w:t>
      </w:r>
    </w:p>
    <w:p>
      <w:pPr>
        <w:numPr>
          <w:ilvl w:val="0"/>
          <w:numId w:val="4"/>
        </w:num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政府性基金预算支出情况</w:t>
      </w:r>
    </w:p>
    <w:p>
      <w:pPr>
        <w:numPr>
          <w:ilvl w:val="0"/>
          <w:numId w:val="0"/>
        </w:numPr>
        <w:spacing w:line="600" w:lineRule="exact"/>
        <w:ind w:firstLine="640" w:firstLineChars="200"/>
        <w:jc w:val="both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本单位无政府性基金预算。</w:t>
      </w:r>
    </w:p>
    <w:p>
      <w:pPr>
        <w:numPr>
          <w:ilvl w:val="0"/>
          <w:numId w:val="4"/>
        </w:numPr>
        <w:spacing w:line="600" w:lineRule="exact"/>
        <w:ind w:left="0" w:leftChars="0"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国有资本经营预算支出情况</w:t>
      </w:r>
    </w:p>
    <w:p>
      <w:pPr>
        <w:numPr>
          <w:ilvl w:val="0"/>
          <w:numId w:val="0"/>
        </w:numPr>
        <w:spacing w:line="600" w:lineRule="exact"/>
        <w:ind w:firstLine="640" w:firstLineChars="200"/>
        <w:jc w:val="both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本单位无国有资本经营预算。</w:t>
      </w:r>
    </w:p>
    <w:p>
      <w:pPr>
        <w:numPr>
          <w:ilvl w:val="0"/>
          <w:numId w:val="4"/>
        </w:numPr>
        <w:spacing w:line="600" w:lineRule="exact"/>
        <w:ind w:left="0" w:leftChars="0"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社会保险基金预算支出情况</w:t>
      </w:r>
    </w:p>
    <w:p>
      <w:pPr>
        <w:numPr>
          <w:ilvl w:val="0"/>
          <w:numId w:val="0"/>
        </w:numPr>
        <w:spacing w:line="600" w:lineRule="exact"/>
        <w:ind w:firstLine="640" w:firstLineChars="200"/>
        <w:jc w:val="both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本单位无社会保险基金预算</w:t>
      </w:r>
    </w:p>
    <w:p>
      <w:pPr>
        <w:numPr>
          <w:ilvl w:val="0"/>
          <w:numId w:val="4"/>
        </w:numPr>
        <w:spacing w:line="600" w:lineRule="exact"/>
        <w:ind w:left="0" w:leftChars="0"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部门整体支出绩效情况</w:t>
      </w:r>
    </w:p>
    <w:p>
      <w:pPr>
        <w:numPr>
          <w:ilvl w:val="0"/>
          <w:numId w:val="0"/>
        </w:numPr>
        <w:spacing w:line="600" w:lineRule="exact"/>
        <w:ind w:firstLine="640" w:firstLineChars="200"/>
        <w:jc w:val="both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本年度整体支出严格实行财务规章制度，在财务手续合法合规的情况下，根据财政下达资金量分项完成本单位各项支出。本年度整体支出严格实行财务规章制度，在财务手续合法合规的情况下，根据财政下达资金量分项完成本单位各项支出。</w:t>
      </w:r>
    </w:p>
    <w:p>
      <w:p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七、存在的问题及原因分析</w:t>
      </w:r>
    </w:p>
    <w:p>
      <w:pPr>
        <w:pStyle w:val="9"/>
        <w:spacing w:line="600" w:lineRule="exact"/>
        <w:ind w:firstLine="643"/>
        <w:jc w:val="both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 xml:space="preserve"> 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本单位临聘人员、农牧职工人员经费开支没有纳入财政预算，每年资金缺口较大，单位供养压力日益增长。</w:t>
      </w:r>
    </w:p>
    <w:p>
      <w:pPr>
        <w:pStyle w:val="9"/>
        <w:spacing w:line="600" w:lineRule="exact"/>
        <w:ind w:firstLine="643"/>
        <w:jc w:val="both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（一）专项组织情况分析：成立项目领导小组，项目资金设专项、专账管理，资金使用情况由主管部门和项目领导小组严格把关，确保项目质量、进度、投资达到预期目标，使其充分发挥该项目的综合效益。</w:t>
      </w:r>
    </w:p>
    <w:p>
      <w:pPr>
        <w:pStyle w:val="9"/>
        <w:spacing w:line="600" w:lineRule="exact"/>
        <w:ind w:firstLine="643"/>
        <w:jc w:val="both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（二）专项管理情况分析：项目建设，严格遵守各项工作程序。在项目建设中实施项目责任制度、合同管理制度、专人监理制度及严格的财务资金管理制度。</w:t>
      </w:r>
    </w:p>
    <w:p>
      <w:p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八、下一步改进措施</w:t>
      </w:r>
    </w:p>
    <w:p>
      <w:pPr>
        <w:pStyle w:val="9"/>
        <w:spacing w:line="600" w:lineRule="exact"/>
        <w:ind w:firstLine="643"/>
        <w:jc w:val="both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虽然本单位2015年已纳入财政全额拨款预算单位，但是各项费用并没有纳入财政预算，林场本身造血功能薄弱，并无其他收入来源，人员经费、公用开支资金缺口较大，希望各级主管部门多多扶持，解决本单位资金缺口问题。</w:t>
      </w:r>
    </w:p>
    <w:p>
      <w:pPr>
        <w:numPr>
          <w:ilvl w:val="0"/>
          <w:numId w:val="5"/>
        </w:num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部门整体支出绩效自评结果拟应用和公开情况</w:t>
      </w:r>
    </w:p>
    <w:p>
      <w:pPr>
        <w:pStyle w:val="9"/>
        <w:spacing w:line="600" w:lineRule="exact"/>
        <w:ind w:firstLine="643"/>
        <w:jc w:val="both"/>
        <w:rPr>
          <w:rFonts w:hint="eastAsia" w:ascii="方正黑体_GBK" w:hAnsi="Arial" w:eastAsia="方正黑体_GBK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本年度整体支出严格实行财务规章制度，在财务手续合法合规的情况下，根据财政下达资金量分项完成本单位各项支出。</w:t>
      </w:r>
    </w:p>
    <w:p>
      <w:pPr>
        <w:spacing w:line="600" w:lineRule="exact"/>
        <w:ind w:firstLine="640" w:firstLineChars="200"/>
        <w:jc w:val="both"/>
        <w:rPr>
          <w:rFonts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十、其他需要说明的情况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报告需要以下附件：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1</w:t>
      </w:r>
      <w:r>
        <w:rPr>
          <w:rFonts w:hint="eastAsia" w:eastAsia="仿宋_GB2312"/>
          <w:kern w:val="0"/>
          <w:sz w:val="32"/>
          <w:szCs w:val="32"/>
          <w:lang w:eastAsia="zh-CN"/>
        </w:rPr>
        <w:t>、部门整体支出绩效评价基础数据表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2</w:t>
      </w:r>
      <w:r>
        <w:rPr>
          <w:rFonts w:hint="eastAsia" w:eastAsia="仿宋_GB2312"/>
          <w:kern w:val="0"/>
          <w:sz w:val="32"/>
          <w:szCs w:val="32"/>
          <w:lang w:eastAsia="zh-CN"/>
        </w:rPr>
        <w:t>、部门整体支出绩效自评表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3</w:t>
      </w:r>
      <w:r>
        <w:rPr>
          <w:rFonts w:hint="eastAsia" w:eastAsia="仿宋_GB2312"/>
          <w:kern w:val="0"/>
          <w:sz w:val="32"/>
          <w:szCs w:val="32"/>
          <w:lang w:eastAsia="zh-CN"/>
        </w:rPr>
        <w:t>、项目支出绩效自评表（每个一级项目支出一张表）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4</w:t>
      </w:r>
      <w:r>
        <w:rPr>
          <w:rFonts w:hint="eastAsia" w:eastAsia="仿宋_GB2312"/>
          <w:kern w:val="0"/>
          <w:sz w:val="32"/>
          <w:szCs w:val="32"/>
          <w:lang w:eastAsia="zh-CN"/>
        </w:rPr>
        <w:t>、政府性基金预算支出情况表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5</w:t>
      </w:r>
      <w:r>
        <w:rPr>
          <w:rFonts w:hint="eastAsia" w:eastAsia="仿宋_GB2312"/>
          <w:kern w:val="0"/>
          <w:sz w:val="32"/>
          <w:szCs w:val="32"/>
          <w:lang w:eastAsia="zh-CN"/>
        </w:rPr>
        <w:t>、国有资本经营预算支出情况表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6</w:t>
      </w:r>
      <w:r>
        <w:rPr>
          <w:rFonts w:hint="eastAsia" w:eastAsia="仿宋_GB2312"/>
          <w:kern w:val="0"/>
          <w:sz w:val="32"/>
          <w:szCs w:val="32"/>
          <w:lang w:eastAsia="zh-CN"/>
        </w:rPr>
        <w:t>、社会保险基金预算支出情况表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val="en-US" w:eastAsia="zh-CN"/>
        </w:rPr>
        <w:t>5</w:t>
      </w:r>
    </w:p>
    <w:p>
      <w:pPr>
        <w:spacing w:before="201" w:line="578" w:lineRule="exact"/>
        <w:ind w:left="2169"/>
        <w:rPr>
          <w:rFonts w:ascii="黑体" w:hAnsi="黑体" w:eastAsia="黑体" w:cs="黑体"/>
          <w:sz w:val="42"/>
          <w:szCs w:val="42"/>
        </w:rPr>
      </w:pPr>
      <w:r>
        <w:rPr>
          <w:rFonts w:ascii="Times New Roman" w:hAnsi="Times New Roman" w:eastAsia="Times New Roman" w:cs="Times New Roman"/>
          <w:spacing w:val="15"/>
          <w:position w:val="10"/>
          <w:sz w:val="42"/>
          <w:szCs w:val="42"/>
        </w:rPr>
        <w:t>202</w:t>
      </w:r>
      <w:r>
        <w:rPr>
          <w:rFonts w:hint="eastAsia" w:ascii="Times New Roman" w:hAnsi="Times New Roman" w:eastAsia="宋体" w:cs="Times New Roman"/>
          <w:spacing w:val="15"/>
          <w:position w:val="10"/>
          <w:sz w:val="42"/>
          <w:szCs w:val="42"/>
          <w:lang w:val="en-US" w:eastAsia="zh-CN"/>
        </w:rPr>
        <w:t>2</w:t>
      </w:r>
      <w:r>
        <w:rPr>
          <w:rFonts w:ascii="Times New Roman" w:hAnsi="Times New Roman" w:eastAsia="Times New Roman" w:cs="Times New Roman"/>
          <w:spacing w:val="41"/>
          <w:position w:val="10"/>
          <w:sz w:val="42"/>
          <w:szCs w:val="42"/>
        </w:rPr>
        <w:t xml:space="preserve"> </w:t>
      </w:r>
      <w:r>
        <w:rPr>
          <w:rFonts w:ascii="黑体" w:hAnsi="黑体" w:eastAsia="黑体" w:cs="黑体"/>
          <w:spacing w:val="15"/>
          <w:position w:val="10"/>
          <w:sz w:val="42"/>
          <w:szCs w:val="42"/>
        </w:rPr>
        <w:t>年度</w:t>
      </w:r>
      <w:r>
        <w:rPr>
          <w:rFonts w:ascii="Times New Roman" w:hAnsi="Times New Roman" w:eastAsia="Times New Roman" w:cs="Times New Roman"/>
          <w:position w:val="10"/>
          <w:sz w:val="42"/>
          <w:szCs w:val="42"/>
        </w:rPr>
        <w:t>XX</w:t>
      </w:r>
      <w:r>
        <w:rPr>
          <w:rFonts w:ascii="Times New Roman" w:hAnsi="Times New Roman" w:eastAsia="Times New Roman" w:cs="Times New Roman"/>
          <w:spacing w:val="42"/>
          <w:position w:val="10"/>
          <w:sz w:val="42"/>
          <w:szCs w:val="42"/>
        </w:rPr>
        <w:t xml:space="preserve"> </w:t>
      </w:r>
      <w:r>
        <w:rPr>
          <w:rFonts w:ascii="黑体" w:hAnsi="黑体" w:eastAsia="黑体" w:cs="黑体"/>
          <w:spacing w:val="15"/>
          <w:position w:val="10"/>
          <w:sz w:val="42"/>
          <w:szCs w:val="42"/>
        </w:rPr>
        <w:t>项目支出</w:t>
      </w:r>
    </w:p>
    <w:p>
      <w:pPr>
        <w:spacing w:before="1" w:line="220" w:lineRule="auto"/>
        <w:ind w:left="3069"/>
        <w:rPr>
          <w:rFonts w:ascii="黑体" w:hAnsi="黑体" w:eastAsia="黑体" w:cs="黑体"/>
          <w:sz w:val="42"/>
          <w:szCs w:val="42"/>
        </w:rPr>
      </w:pPr>
      <w:r>
        <w:rPr>
          <w:rFonts w:ascii="黑体" w:hAnsi="黑体" w:eastAsia="黑体" w:cs="黑体"/>
          <w:spacing w:val="10"/>
          <w:sz w:val="42"/>
          <w:szCs w:val="42"/>
        </w:rPr>
        <w:t>绩效自评报告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89" w:line="221" w:lineRule="auto"/>
        <w:ind w:left="2270"/>
        <w:rPr>
          <w:sz w:val="27"/>
          <w:szCs w:val="27"/>
        </w:rPr>
      </w:pPr>
      <w:r>
        <w:rPr>
          <w:spacing w:val="-22"/>
          <w:sz w:val="27"/>
          <w:szCs w:val="27"/>
        </w:rPr>
        <w:t>部 门 ( 单</w:t>
      </w:r>
      <w:r>
        <w:rPr>
          <w:spacing w:val="-19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位</w:t>
      </w:r>
      <w:r>
        <w:rPr>
          <w:spacing w:val="-43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)</w:t>
      </w:r>
      <w:r>
        <w:rPr>
          <w:spacing w:val="-36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名</w:t>
      </w:r>
      <w:r>
        <w:rPr>
          <w:spacing w:val="-37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称</w:t>
      </w:r>
      <w:r>
        <w:rPr>
          <w:spacing w:val="-54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：</w:t>
      </w:r>
      <w:r>
        <w:rPr>
          <w:spacing w:val="-22"/>
          <w:sz w:val="27"/>
          <w:szCs w:val="27"/>
          <w:u w:val="single" w:color="auto"/>
        </w:rPr>
        <w:t xml:space="preserve">   (</w:t>
      </w:r>
      <w:r>
        <w:rPr>
          <w:spacing w:val="68"/>
          <w:sz w:val="27"/>
          <w:szCs w:val="27"/>
          <w:u w:val="single" w:color="auto"/>
        </w:rPr>
        <w:t xml:space="preserve"> </w:t>
      </w:r>
      <w:r>
        <w:rPr>
          <w:spacing w:val="-22"/>
          <w:sz w:val="27"/>
          <w:szCs w:val="27"/>
          <w:u w:val="single" w:color="auto"/>
        </w:rPr>
        <w:t>盖</w:t>
      </w:r>
      <w:r>
        <w:rPr>
          <w:spacing w:val="64"/>
          <w:sz w:val="27"/>
          <w:szCs w:val="27"/>
          <w:u w:val="single" w:color="auto"/>
        </w:rPr>
        <w:t xml:space="preserve"> </w:t>
      </w:r>
      <w:r>
        <w:rPr>
          <w:spacing w:val="-22"/>
          <w:sz w:val="27"/>
          <w:szCs w:val="27"/>
          <w:u w:val="single" w:color="auto"/>
        </w:rPr>
        <w:t>章</w:t>
      </w:r>
      <w:r>
        <w:rPr>
          <w:spacing w:val="55"/>
          <w:sz w:val="27"/>
          <w:szCs w:val="27"/>
          <w:u w:val="single" w:color="auto"/>
        </w:rPr>
        <w:t xml:space="preserve"> </w:t>
      </w:r>
      <w:r>
        <w:rPr>
          <w:spacing w:val="-22"/>
          <w:sz w:val="27"/>
          <w:szCs w:val="27"/>
          <w:u w:val="single" w:color="auto"/>
        </w:rPr>
        <w:t>)</w:t>
      </w:r>
      <w:r>
        <w:rPr>
          <w:sz w:val="27"/>
          <w:szCs w:val="27"/>
          <w:u w:val="single" w:color="auto"/>
        </w:rPr>
        <w:t xml:space="preserve">     </w:t>
      </w:r>
    </w:p>
    <w:p>
      <w:pPr>
        <w:pStyle w:val="2"/>
        <w:spacing w:before="289" w:line="610" w:lineRule="exact"/>
        <w:ind w:left="3490"/>
        <w:rPr>
          <w:sz w:val="27"/>
          <w:szCs w:val="27"/>
        </w:rPr>
      </w:pPr>
      <w:r>
        <w:rPr>
          <w:spacing w:val="-13"/>
          <w:position w:val="26"/>
          <w:sz w:val="27"/>
          <w:szCs w:val="27"/>
        </w:rPr>
        <w:t>年   月</w:t>
      </w:r>
      <w:r>
        <w:rPr>
          <w:spacing w:val="12"/>
          <w:position w:val="26"/>
          <w:sz w:val="27"/>
          <w:szCs w:val="27"/>
        </w:rPr>
        <w:t xml:space="preserve">   </w:t>
      </w:r>
      <w:r>
        <w:rPr>
          <w:spacing w:val="-13"/>
          <w:position w:val="26"/>
          <w:sz w:val="27"/>
          <w:szCs w:val="27"/>
        </w:rPr>
        <w:t>日</w:t>
      </w:r>
    </w:p>
    <w:p>
      <w:pPr>
        <w:pStyle w:val="2"/>
        <w:spacing w:before="1" w:line="223" w:lineRule="auto"/>
        <w:ind w:left="3560"/>
        <w:rPr>
          <w:sz w:val="24"/>
          <w:szCs w:val="24"/>
        </w:rPr>
      </w:pPr>
      <w:r>
        <w:rPr>
          <w:spacing w:val="7"/>
          <w:sz w:val="24"/>
          <w:szCs w:val="24"/>
        </w:rPr>
        <w:t>(此面为封面)</w:t>
      </w:r>
    </w:p>
    <w:p>
      <w:pPr>
        <w:spacing w:line="223" w:lineRule="auto"/>
        <w:rPr>
          <w:sz w:val="24"/>
          <w:szCs w:val="24"/>
        </w:rPr>
        <w:sectPr>
          <w:footerReference r:id="rId8" w:type="default"/>
          <w:pgSz w:w="11900" w:h="16820"/>
          <w:pgMar w:top="1429" w:right="1782" w:bottom="1158" w:left="1450" w:header="0" w:footer="850" w:gutter="0"/>
          <w:cols w:space="720" w:num="1"/>
        </w:sectPr>
      </w:pPr>
    </w:p>
    <w:p>
      <w:pPr>
        <w:spacing w:before="137" w:line="221" w:lineRule="auto"/>
        <w:ind w:left="2336"/>
        <w:rPr>
          <w:rFonts w:ascii="黑体" w:hAnsi="黑体" w:eastAsia="黑体" w:cs="黑体"/>
          <w:sz w:val="42"/>
          <w:szCs w:val="42"/>
        </w:rPr>
      </w:pPr>
      <w:r>
        <w:rPr>
          <w:rFonts w:ascii="黑体" w:hAnsi="黑体" w:eastAsia="黑体" w:cs="黑体"/>
          <w:b/>
          <w:bCs/>
          <w:spacing w:val="6"/>
          <w:sz w:val="42"/>
          <w:szCs w:val="42"/>
        </w:rPr>
        <w:t>项目支出绩效评价报告</w:t>
      </w:r>
    </w:p>
    <w:p>
      <w:pPr>
        <w:spacing w:before="190" w:line="227" w:lineRule="auto"/>
        <w:ind w:left="367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5"/>
          <w:sz w:val="31"/>
          <w:szCs w:val="31"/>
        </w:rPr>
        <w:t>(参考提纲)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一</w:t>
      </w:r>
      <w:r>
        <w:rPr>
          <w:rFonts w:ascii="黑体" w:hAnsi="黑体" w:eastAsia="黑体" w:cs="黑体"/>
          <w:spacing w:val="-15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、项目支出基本情况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15"/>
          <w:kern w:val="0"/>
          <w:sz w:val="31"/>
          <w:szCs w:val="31"/>
          <w:lang w:val="en-US" w:eastAsia="en-US" w:bidi="ar-SA"/>
        </w:rPr>
        <w:t>(一)项目支出概况。</w:t>
      </w:r>
      <w:r>
        <w:rPr>
          <w:rFonts w:hint="eastAsia" w:eastAsia="仿宋_GB2312"/>
          <w:kern w:val="0"/>
          <w:sz w:val="32"/>
          <w:szCs w:val="32"/>
          <w:lang w:eastAsia="zh-CN"/>
        </w:rPr>
        <w:t>主要包括项目支出决策背景及其主要内容。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(二)项目资金使用管理情况。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主要包括：项目支出组织管 理机构；项目资金和项目管理制度建设，项目资金投向结构合理 性，资金拨付及时性等，项目立项、申报、评审、监督管理、验收等阶段组织实施的合规性等。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15"/>
          <w:kern w:val="0"/>
          <w:sz w:val="31"/>
          <w:szCs w:val="31"/>
          <w:lang w:val="en-US" w:eastAsia="en-US" w:bidi="ar-SA"/>
        </w:rPr>
        <w:t>(三)项目支出绩效目标完成程度</w:t>
      </w:r>
      <w:r>
        <w:rPr>
          <w:rFonts w:ascii="楷体" w:hAnsi="楷体" w:eastAsia="楷体" w:cs="楷体"/>
          <w:b/>
          <w:bCs/>
          <w:spacing w:val="6"/>
          <w:position w:val="16"/>
          <w:sz w:val="31"/>
          <w:szCs w:val="31"/>
        </w:rPr>
        <w:t>。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主要包括绩效总目标和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阶段性目标，实现的产出情况和取得的效益情况。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二、绩效评价工作情况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三 、项目支出主要绩效及评价结论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四、 绩效评价指标分析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(一)项目支出决策情况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(二)项目执行过程情况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(三)项目支出产出情况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(四)项目支出效益情况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五、主要经验及做法、存在的问题及原因分析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7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可从资金分配和安排，资金指标下达、资金拨付和资金使用 进度，资金使用管理，项目管理，政策适应性等方面概括存在的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主要问题。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六、有关建议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七、其他需要说明的问题</w:t>
      </w:r>
    </w:p>
    <w:sectPr>
      <w:footerReference r:id="rId9" w:type="default"/>
      <w:pgSz w:w="11900" w:h="16820"/>
      <w:pgMar w:top="1755" w:right="1227" w:bottom="1485" w:left="1011" w:header="0" w:footer="91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7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right"/>
          <w:rPr>
            <w:rFonts w:asciiTheme="minorEastAsia" w:hAnsiTheme="minorEastAsia" w:eastAsiaTheme="minorEastAsia"/>
            <w:kern w:val="0"/>
            <w:sz w:val="28"/>
            <w:szCs w:val="28"/>
          </w:rPr>
        </w:pPr>
      </w:p>
    </w:sdtContent>
  </w:sdt>
  <w:p>
    <w:pPr>
      <w:spacing w:before="1" w:line="175" w:lineRule="auto"/>
      <w:ind w:left="444"/>
      <w:jc w:val="left"/>
      <w:rPr>
        <w:rFonts w:ascii="宋体" w:hAnsi="宋体" w:eastAsia="宋体" w:cs="宋体"/>
        <w:kern w:val="0"/>
        <w:sz w:val="26"/>
        <w:szCs w:val="2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6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left"/>
          <w:rPr>
            <w:rFonts w:asciiTheme="minorEastAsia" w:hAnsiTheme="minorEastAsia" w:eastAsiaTheme="minorEastAsia"/>
            <w:kern w:val="0"/>
            <w:sz w:val="28"/>
            <w:szCs w:val="28"/>
          </w:rPr>
        </w:pP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kern w:val="0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t xml:space="preserve"> 2 -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end"/>
        </w:r>
      </w:p>
    </w:sdtContent>
  </w:sdt>
  <w:p>
    <w:pPr>
      <w:pStyle w:val="3"/>
      <w:jc w:val="left"/>
      <w:rPr>
        <w:rFonts w:eastAsiaTheme="minorEastAsia"/>
        <w:kern w:val="0"/>
        <w:lang w:eastAsia="zh-C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141"/>
      <w:docPartObj>
        <w:docPartGallery w:val="autotext"/>
      </w:docPartObj>
    </w:sdtPr>
    <w:sdtEndPr>
      <w:rPr>
        <w:rFonts w:hint="eastAsia"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right"/>
          <w:rPr>
            <w:rFonts w:asciiTheme="minorEastAsia" w:hAnsiTheme="minorEastAsia" w:eastAsiaTheme="minorEastAsia"/>
            <w:kern w:val="0"/>
          </w:rPr>
        </w:pPr>
      </w:p>
    </w:sdtContent>
  </w:sdt>
  <w:p>
    <w:pPr>
      <w:spacing w:line="14" w:lineRule="auto"/>
      <w:jc w:val="left"/>
      <w:rPr>
        <w:kern w:val="0"/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7" w:lineRule="auto"/>
      <w:jc w:val="right"/>
      <w:rPr>
        <w:rFonts w:ascii="宋体" w:hAnsi="宋体" w:eastAsia="宋体" w:cs="宋体"/>
        <w:sz w:val="31"/>
        <w:szCs w:val="31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274"/>
      <w:rPr>
        <w:rFonts w:ascii="宋体" w:hAnsi="宋体" w:eastAsia="宋体" w:cs="宋体"/>
        <w:sz w:val="31"/>
        <w:szCs w:val="3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57D275"/>
    <w:multiLevelType w:val="singleLevel"/>
    <w:tmpl w:val="C857D27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F62227E"/>
    <w:multiLevelType w:val="singleLevel"/>
    <w:tmpl w:val="CF62227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137C04B"/>
    <w:multiLevelType w:val="singleLevel"/>
    <w:tmpl w:val="E137C0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59FAFFD"/>
    <w:multiLevelType w:val="singleLevel"/>
    <w:tmpl w:val="359FAFFD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6FE4B774"/>
    <w:multiLevelType w:val="singleLevel"/>
    <w:tmpl w:val="6FE4B77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mJhYmFlMjM3NWZhNTJjMGVmMjY5MWJhMDcwMzVmNjgifQ=="/>
  </w:docVars>
  <w:rsids>
    <w:rsidRoot w:val="00000000"/>
    <w:rsid w:val="01AF3811"/>
    <w:rsid w:val="03795BF7"/>
    <w:rsid w:val="0856683D"/>
    <w:rsid w:val="086E756B"/>
    <w:rsid w:val="0A207E53"/>
    <w:rsid w:val="0ACF37E5"/>
    <w:rsid w:val="0B400BC6"/>
    <w:rsid w:val="0E68228D"/>
    <w:rsid w:val="15276E52"/>
    <w:rsid w:val="17194B87"/>
    <w:rsid w:val="17EA7D38"/>
    <w:rsid w:val="19D32FBC"/>
    <w:rsid w:val="1DF21BD3"/>
    <w:rsid w:val="1E6A4395"/>
    <w:rsid w:val="208E1308"/>
    <w:rsid w:val="244020ED"/>
    <w:rsid w:val="25557A3D"/>
    <w:rsid w:val="26EA5ED7"/>
    <w:rsid w:val="27A93B82"/>
    <w:rsid w:val="2ACD3FAF"/>
    <w:rsid w:val="2AE00186"/>
    <w:rsid w:val="2C0A565C"/>
    <w:rsid w:val="2F032695"/>
    <w:rsid w:val="308216BE"/>
    <w:rsid w:val="31D9605D"/>
    <w:rsid w:val="34FE1149"/>
    <w:rsid w:val="36124A5C"/>
    <w:rsid w:val="379819E9"/>
    <w:rsid w:val="3A550786"/>
    <w:rsid w:val="3B7A130F"/>
    <w:rsid w:val="45BE012D"/>
    <w:rsid w:val="4B090257"/>
    <w:rsid w:val="4F8B6063"/>
    <w:rsid w:val="4FD24D63"/>
    <w:rsid w:val="5234245A"/>
    <w:rsid w:val="52FA3F96"/>
    <w:rsid w:val="54843081"/>
    <w:rsid w:val="55850F17"/>
    <w:rsid w:val="56CF3937"/>
    <w:rsid w:val="57AE6D93"/>
    <w:rsid w:val="57E71124"/>
    <w:rsid w:val="5FA532E9"/>
    <w:rsid w:val="5FB623A7"/>
    <w:rsid w:val="61FD54F7"/>
    <w:rsid w:val="62090166"/>
    <w:rsid w:val="66F75934"/>
    <w:rsid w:val="68010392"/>
    <w:rsid w:val="6E3851B0"/>
    <w:rsid w:val="70B76860"/>
    <w:rsid w:val="74962E8D"/>
    <w:rsid w:val="794E3F29"/>
    <w:rsid w:val="7ED67756"/>
    <w:rsid w:val="7EE43A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3">
    <w:name w:val="footer"/>
    <w:autoRedefine/>
    <w:qFormat/>
    <w:uiPriority w:val="99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spacing w:line="560" w:lineRule="exact"/>
      <w:textAlignment w:val="baseline"/>
    </w:pPr>
    <w:rPr>
      <w:rFonts w:ascii="Arial" w:hAnsi="Arial" w:eastAsia="Arial" w:cs="Arial"/>
      <w:snapToGrid w:val="0"/>
      <w:color w:val="000000"/>
      <w:sz w:val="18"/>
      <w:szCs w:val="18"/>
      <w:lang w:val="en-US" w:eastAsia="en-US" w:bidi="ar-SA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9">
    <w:name w:val="List Paragraph"/>
    <w:autoRedefine/>
    <w:unhideWhenUsed/>
    <w:qFormat/>
    <w:uiPriority w:val="99"/>
    <w:pPr>
      <w:kinsoku w:val="0"/>
      <w:autoSpaceDE w:val="0"/>
      <w:autoSpaceDN w:val="0"/>
      <w:adjustRightInd w:val="0"/>
      <w:snapToGrid w:val="0"/>
      <w:ind w:firstLine="420" w:firstLineChars="20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11</Pages>
  <Words>2878</Words>
  <Characters>3153</Characters>
  <TotalTime>184</TotalTime>
  <ScaleCrop>false</ScaleCrop>
  <LinksUpToDate>false</LinksUpToDate>
  <CharactersWithSpaces>3260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2024-04-19T21:25:00Z</dcterms:created>
  <dc:creator>Administrator</dc:creator>
  <cp:lastModifiedBy>Administrator</cp:lastModifiedBy>
  <cp:lastPrinted>2024-05-21T14:05:00Z</cp:lastPrinted>
  <dcterms:modified xsi:type="dcterms:W3CDTF">2024-07-16T07:28:53Z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2024-04-19T21:25:46Z</vt:filetime>
  </property>
  <property fmtid="{D5CDD505-2E9C-101B-9397-08002B2CF9AE}" pid="4" name="UsrData">
    <vt:lpwstr>662270d4e44a44001f699c5cwl</vt:lpwstr>
  </property>
  <property fmtid="{D5CDD505-2E9C-101B-9397-08002B2CF9AE}" pid="5" name="KSOProductBuildVer">
    <vt:lpwstr>2052-12.1.0.16929</vt:lpwstr>
  </property>
  <property fmtid="{D5CDD505-2E9C-101B-9397-08002B2CF9AE}" pid="6" name="ICV">
    <vt:lpwstr>ED61D89FC12246B7B7CDB565E57C4746_13</vt:lpwstr>
  </property>
</Properties>
</file>