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16"/>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14.36</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14.36</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481.53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农资淡储专项资金</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综合改革专项资金</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3271" w:type="dxa"/>
            <w:vAlign w:val="center"/>
          </w:tcPr>
          <w:p>
            <w:pPr>
              <w:pStyle w:val="5"/>
              <w:keepNext w:val="0"/>
              <w:keepLines w:val="0"/>
              <w:widowControl/>
              <w:suppressLineNumbers w:val="0"/>
              <w:spacing w:before="0" w:beforeAutospacing="0" w:after="0" w:afterAutospacing="0" w:line="33" w:lineRule="atLeast"/>
              <w:ind w:left="0" w:right="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hAnsi="Arial" w:eastAsia="仿宋_GB2312" w:cs="Arial"/>
                <w:snapToGrid w:val="0"/>
                <w:color w:val="000000"/>
                <w:kern w:val="0"/>
                <w:sz w:val="21"/>
                <w:szCs w:val="21"/>
                <w:lang w:val="en-US" w:eastAsia="zh-CN" w:bidi="ar-SA"/>
              </w:rPr>
              <w:t>乡镇惠农服务中心奖扶资金</w:t>
            </w:r>
          </w:p>
          <w:p>
            <w:pPr>
              <w:spacing w:line="240" w:lineRule="auto"/>
              <w:ind w:firstLine="420"/>
              <w:jc w:val="both"/>
              <w:rPr>
                <w:rFonts w:hint="eastAsia" w:ascii="仿宋_GB2312" w:eastAsia="仿宋_GB2312"/>
                <w:kern w:val="0"/>
                <w:lang w:eastAsia="zh-CN"/>
              </w:rPr>
            </w:pPr>
          </w:p>
        </w:tc>
        <w:tc>
          <w:tcPr>
            <w:tcW w:w="2116" w:type="dxa"/>
            <w:gridSpan w:val="2"/>
            <w:vAlign w:val="center"/>
          </w:tcPr>
          <w:p>
            <w:pPr>
              <w:spacing w:line="240" w:lineRule="auto"/>
              <w:ind w:firstLine="0"/>
              <w:jc w:val="center"/>
              <w:rPr>
                <w:rFonts w:hint="default" w:ascii="仿宋_GB2312" w:eastAsia="仿宋_GB2312"/>
                <w:kern w:val="0"/>
                <w:lang w:val="en-US" w:eastAsia="zh-CN"/>
              </w:rPr>
            </w:pPr>
            <w:r>
              <w:rPr>
                <w:rFonts w:hint="eastAsia" w:ascii="仿宋_GB2312" w:eastAsia="仿宋_GB2312"/>
                <w:kern w:val="0"/>
                <w:lang w:val="en-US" w:eastAsia="zh-CN"/>
              </w:rPr>
              <w:t>150</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政府性基金土地返还款</w:t>
            </w:r>
          </w:p>
        </w:tc>
        <w:tc>
          <w:tcPr>
            <w:tcW w:w="2116" w:type="dxa"/>
            <w:gridSpan w:val="2"/>
            <w:vAlign w:val="center"/>
          </w:tcPr>
          <w:p>
            <w:pPr>
              <w:spacing w:line="240" w:lineRule="auto"/>
              <w:ind w:firstLine="0"/>
              <w:jc w:val="center"/>
              <w:rPr>
                <w:rFonts w:hint="default" w:ascii="仿宋_GB2312" w:eastAsia="仿宋_GB2312"/>
                <w:kern w:val="0"/>
                <w:lang w:val="en-US" w:eastAsia="zh-CN"/>
              </w:rPr>
            </w:pPr>
            <w:r>
              <w:rPr>
                <w:rFonts w:hint="eastAsia" w:ascii="仿宋_GB2312" w:eastAsia="仿宋_GB2312"/>
                <w:kern w:val="0"/>
                <w:lang w:val="en-US" w:eastAsia="zh-CN"/>
              </w:rPr>
              <w:t>306.53</w:t>
            </w:r>
          </w:p>
        </w:tc>
        <w:tc>
          <w:tcPr>
            <w:tcW w:w="2039" w:type="dxa"/>
            <w:gridSpan w:val="2"/>
            <w:vAlign w:val="center"/>
          </w:tcPr>
          <w:p>
            <w:pPr>
              <w:spacing w:line="240" w:lineRule="auto"/>
              <w:ind w:firstLine="420"/>
              <w:jc w:val="center"/>
              <w:rPr>
                <w:rFonts w:hint="eastAsia" w:ascii="仿宋_GB2312" w:eastAsia="仿宋_GB2312"/>
                <w:kern w:val="0"/>
                <w:lang w:val="en-US" w:eastAsia="zh-CN"/>
              </w:rPr>
            </w:pPr>
          </w:p>
        </w:tc>
        <w:tc>
          <w:tcPr>
            <w:tcW w:w="1983" w:type="dxa"/>
            <w:gridSpan w:val="2"/>
            <w:vAlign w:val="center"/>
          </w:tcPr>
          <w:p>
            <w:pPr>
              <w:spacing w:line="240" w:lineRule="auto"/>
              <w:ind w:firstLine="420"/>
              <w:jc w:val="center"/>
              <w:rPr>
                <w:rFonts w:hint="eastAsia" w:ascii="仿宋_GB2312" w:eastAsia="仿宋_GB2312"/>
                <w:kern w:val="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56.47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50.27</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105.28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5.75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10.41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13.2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16"/>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汨罗市供销合作社联合社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321.36</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561.55</w:t>
            </w:r>
          </w:p>
        </w:tc>
        <w:tc>
          <w:tcPr>
            <w:tcW w:w="12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561.55</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 xml:space="preserve">           392.15</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 xml:space="preserve">        511.55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政府性基金拨款：</w:t>
            </w:r>
            <w:r>
              <w:rPr>
                <w:rFonts w:hint="eastAsia" w:ascii="仿宋_GB2312" w:hAnsi="宋体" w:eastAsia="仿宋_GB2312" w:cs="宋体"/>
                <w:kern w:val="0"/>
                <w:lang w:val="en-US" w:eastAsia="zh-CN"/>
              </w:rPr>
              <w:t xml:space="preserve">         169.4</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 xml:space="preserve">         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单位整体工作有序进行，按规章制度办理各项事宜。2.农资淡季储备专项工作：完成农资储备量，保证春耕顺利进行。完成深化改革相关事务。3.综合改革相关事宜及13个惠农服务中心工作的开展：办好丰收节主题日，组织与实施乡村振兴消费扶贫。</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eastAsia="仿宋_GB2312"/>
                <w:kern w:val="0"/>
              </w:rPr>
              <w:t>均已经完成目标，达到预期效果。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农产品</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200余种</w:t>
            </w:r>
          </w:p>
        </w:tc>
        <w:tc>
          <w:tcPr>
            <w:tcW w:w="126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已完成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展台</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38个</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eastAsia="zh-CN"/>
              </w:rPr>
              <w:t>已完成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消费扶贫配送单位</w:t>
            </w:r>
          </w:p>
        </w:tc>
        <w:tc>
          <w:tcPr>
            <w:tcW w:w="1298"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12596份</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eastAsia="zh-CN"/>
              </w:rPr>
              <w:t>已完成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资产归集已办理不动产证</w:t>
            </w:r>
          </w:p>
        </w:tc>
        <w:tc>
          <w:tcPr>
            <w:tcW w:w="1298"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81本</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eastAsia="zh-CN"/>
              </w:rPr>
              <w:t>已完成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综合改革专项资金</w:t>
            </w:r>
          </w:p>
        </w:tc>
        <w:tc>
          <w:tcPr>
            <w:tcW w:w="1298"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3年</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eastAsia="zh-CN"/>
              </w:rPr>
              <w:t>已完成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continue"/>
            <w:tcBorders>
              <w:top w:val="nil"/>
            </w:tcBorders>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农资淡储专项资金</w:t>
            </w:r>
          </w:p>
        </w:tc>
        <w:tc>
          <w:tcPr>
            <w:tcW w:w="1298" w:type="dxa"/>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3年</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eastAsia="zh-CN"/>
              </w:rPr>
              <w:t>已完成</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丰收节当天销售量</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1910万元</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eastAsia="zh-CN"/>
              </w:rPr>
              <w:t>已完成</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我社知名度提高</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30多家媒体宣传</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eastAsia="zh-CN"/>
              </w:rPr>
              <w:t>已完成</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1298"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126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1298"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126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社会公众满意度</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99%</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eastAsia="zh-CN"/>
              </w:rPr>
              <w:t>已完成</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综合改革专项资金</w:t>
            </w:r>
            <w:r>
              <w:rPr>
                <w:rFonts w:hint="eastAsia" w:ascii="仿宋_GB2312" w:eastAsia="仿宋_GB2312"/>
                <w:kern w:val="0"/>
                <w:lang w:val="en-US" w:eastAsia="zh-CN"/>
              </w:rPr>
              <w:t>/</w:t>
            </w:r>
            <w:r>
              <w:rPr>
                <w:rFonts w:hint="eastAsia" w:ascii="仿宋_GB2312" w:eastAsia="仿宋_GB2312"/>
                <w:kern w:val="0"/>
              </w:rPr>
              <w:t>农资淡储专项资金</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eastAsia="zh-CN"/>
              </w:rPr>
              <w:t>各</w:t>
            </w:r>
            <w:r>
              <w:rPr>
                <w:rFonts w:hint="eastAsia" w:ascii="仿宋_GB2312" w:eastAsia="仿宋_GB2312"/>
                <w:kern w:val="0"/>
                <w:lang w:val="en-US" w:eastAsia="zh-CN"/>
              </w:rPr>
              <w:t>25万元</w:t>
            </w:r>
          </w:p>
        </w:tc>
        <w:tc>
          <w:tcPr>
            <w:tcW w:w="12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eastAsia="zh-CN"/>
              </w:rPr>
              <w:t>已完成</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无</w:t>
            </w:r>
          </w:p>
        </w:tc>
        <w:tc>
          <w:tcPr>
            <w:tcW w:w="1298"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126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ind w:firstLine="420" w:firstLineChars="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cs="Arial"/>
                <w:snapToGrid w:val="0"/>
                <w:color w:val="000000"/>
                <w:kern w:val="0"/>
                <w:sz w:val="21"/>
                <w:szCs w:val="21"/>
                <w:lang w:val="en-US" w:eastAsia="zh-CN" w:bidi="ar-SA"/>
              </w:rPr>
              <w:t>无</w:t>
            </w:r>
          </w:p>
        </w:tc>
        <w:tc>
          <w:tcPr>
            <w:tcW w:w="1298"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1269" w:type="dxa"/>
            <w:vAlign w:val="center"/>
          </w:tcPr>
          <w:p>
            <w:pPr>
              <w:spacing w:line="240" w:lineRule="auto"/>
              <w:ind w:firstLine="420"/>
              <w:jc w:val="center"/>
              <w:rPr>
                <w:rFonts w:hint="eastAsia" w:ascii="仿宋_GB2312" w:eastAsia="仿宋_GB2312"/>
                <w:kern w:val="0"/>
                <w:lang w:eastAsia="zh-CN"/>
              </w:rPr>
            </w:pPr>
            <w:r>
              <w:rPr>
                <w:rFonts w:hint="eastAsia" w:ascii="仿宋_GB2312" w:eastAsia="仿宋_GB2312"/>
                <w:kern w:val="0"/>
                <w:lang w:eastAsia="zh-CN"/>
              </w:rPr>
              <w:t>无</w:t>
            </w:r>
          </w:p>
        </w:tc>
        <w:tc>
          <w:tcPr>
            <w:tcW w:w="699" w:type="dxa"/>
            <w:vAlign w:val="center"/>
          </w:tcPr>
          <w:p>
            <w:pPr>
              <w:spacing w:line="240" w:lineRule="auto"/>
              <w:ind w:firstLine="420"/>
              <w:jc w:val="center"/>
              <w:rPr>
                <w:rFonts w:ascii="仿宋_GB2312" w:eastAsia="仿宋_GB2312"/>
                <w:kern w:val="0"/>
              </w:rPr>
            </w:pPr>
          </w:p>
        </w:tc>
        <w:tc>
          <w:tcPr>
            <w:tcW w:w="869" w:type="dxa"/>
            <w:vAlign w:val="center"/>
          </w:tcPr>
          <w:p>
            <w:pPr>
              <w:spacing w:line="240" w:lineRule="auto"/>
              <w:ind w:firstLine="420"/>
              <w:jc w:val="center"/>
              <w:rPr>
                <w:rFonts w:ascii="仿宋_GB2312" w:eastAsia="仿宋_GB2312"/>
                <w:kern w:val="0"/>
              </w:rPr>
            </w:pP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99</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16"/>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供销社项目资金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汨罗市政府</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汨罗市供销合作社联合社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完成农资储备量，保证春耕顺利进行。完成深化改革相关事务。继续完善两组织一平台建设，尤其是争取市委市政府支持，赋予乡镇惠农服务中心承接更多为农服务事项。</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均已经完成目标，达到预期效果。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丰收节农产销售</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200余种</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丰收节展台</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38个</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储存化肥</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4000余吨</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储存农药</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20余吨</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综合改革专项资金</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3年</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农资淡储专项资金</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3年</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丰收节当天销售农产品</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300多万元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销售量</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1910万元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我社知名度提高</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30多家</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媒体宣传报道</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30多家</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Merge w:val="restart"/>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Merge w:val="restart"/>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w:t>
            </w:r>
          </w:p>
        </w:tc>
        <w:tc>
          <w:tcPr>
            <w:tcW w:w="84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Merge w:val="restart"/>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Merge w:val="restart"/>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Merge w:val="restart"/>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4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6"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lang w:eastAsia="zh-CN"/>
              </w:rPr>
              <w:t>社会公众满意程度</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rPr>
              <w:t>综合改革专项资金</w:t>
            </w:r>
            <w:r>
              <w:rPr>
                <w:rFonts w:hint="eastAsia" w:ascii="仿宋_GB2312" w:hAnsi="宋体" w:eastAsia="仿宋_GB2312" w:cs="宋体"/>
                <w:kern w:val="0"/>
                <w:lang w:val="en-US" w:eastAsia="zh-CN"/>
              </w:rPr>
              <w:t>/农资淡储专项资金</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eastAsia="zh-CN"/>
              </w:rPr>
              <w:t>各</w:t>
            </w:r>
            <w:r>
              <w:rPr>
                <w:rFonts w:hint="eastAsia" w:ascii="仿宋_GB2312" w:hAnsi="宋体" w:eastAsia="仿宋_GB2312" w:cs="宋体"/>
                <w:kern w:val="0"/>
                <w:lang w:val="en-US" w:eastAsia="zh-CN"/>
              </w:rPr>
              <w:t>25万元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eastAsia="zh-CN"/>
              </w:rPr>
              <w:t>已完成</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4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0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84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无</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ascii="仿宋_GB2312" w:hAnsi="宋体" w:eastAsia="仿宋_GB2312" w:cs="宋体"/>
          <w:lang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联系电话：</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单位负责人签字:</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年度汨罗市供销合作社联合社部门</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单位</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16"/>
          <w:sz w:val="40"/>
          <w:szCs w:val="40"/>
          <w:lang w:eastAsia="zh-CN"/>
        </w:rPr>
        <w:t>汨罗市供销合作社联合社</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pStyle w:val="18"/>
        <w:spacing w:line="600" w:lineRule="exact"/>
        <w:ind w:firstLine="643"/>
        <w:jc w:val="both"/>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我社下辖汨罗市农业生产资料集团有限公司、汨罗市民安日用杂品有限公司、汨罗市食杂果品有限公司、汨罗市鑫龙再生资源有限公司、汨罗市工业品有限公司、汨罗市商源生活资料有限公司6个公司和桃林区社、弼时区社、新市区社、越江区社4个基层社。乐村淘1个电子商务平台，已建成白水九牛，神鼎山农盛，屈子祠峰登，罗江火红，弼时腾博，长乐广农，白塘军田，大荆宏腾，汨罗镇群策，川山坪中晖，古培荣胜，桃林寺，三江,13个惠农服务中心。市供销社机关内设办公室，财计股，政工股，保卫股，业务股，工会，资产管理股7个股室。</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8"/>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18"/>
        <w:spacing w:line="600" w:lineRule="exact"/>
        <w:ind w:firstLine="643"/>
        <w:jc w:val="both"/>
        <w:rPr>
          <w:rFonts w:hint="eastAsia" w:asciiTheme="minorEastAsia" w:hAnsiTheme="minorEastAsia" w:eastAsiaTheme="minorEastAsia" w:cstheme="minorEastAsia"/>
          <w:kern w:val="0"/>
          <w:sz w:val="28"/>
          <w:szCs w:val="28"/>
          <w:lang w:eastAsia="zh-CN"/>
        </w:rPr>
      </w:pPr>
      <w:r>
        <w:rPr>
          <w:rFonts w:hint="eastAsia" w:asciiTheme="minorEastAsia" w:hAnsiTheme="minorEastAsia" w:eastAsiaTheme="minorEastAsia" w:cstheme="minorEastAsia"/>
          <w:kern w:val="0"/>
          <w:sz w:val="28"/>
          <w:szCs w:val="28"/>
          <w:lang w:eastAsia="zh-CN"/>
        </w:rPr>
        <w:t>基本支出为511.55万元，其中人员支出为406.27万元，公共支出为105.28万元。主要用于人员经费开支和单位正常运转开支。其中包括政府性基金支出169.4万元，主要用于区社困难人员养老保险补助等，均已下拨到区社。</w:t>
      </w:r>
    </w:p>
    <w:p>
      <w:pPr>
        <w:pStyle w:val="18"/>
        <w:numPr>
          <w:ilvl w:val="0"/>
          <w:numId w:val="2"/>
        </w:numPr>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pPr>
        <w:pStyle w:val="18"/>
        <w:spacing w:line="600" w:lineRule="exact"/>
        <w:jc w:val="both"/>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 xml:space="preserve"> 1、专项资金安排落实、总投入等情况分析</w:t>
      </w:r>
    </w:p>
    <w:p>
      <w:pPr>
        <w:pStyle w:val="18"/>
        <w:spacing w:line="600" w:lineRule="exact"/>
        <w:ind w:firstLine="643"/>
        <w:jc w:val="both"/>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项目资金均由财政预算安排，市社按专项要求专款专用。</w:t>
      </w:r>
    </w:p>
    <w:p>
      <w:pPr>
        <w:pStyle w:val="18"/>
        <w:spacing w:line="600" w:lineRule="exact"/>
        <w:ind w:firstLine="840" w:firstLineChars="300"/>
        <w:jc w:val="both"/>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2、专项资金实际使用情况分析</w:t>
      </w:r>
    </w:p>
    <w:p>
      <w:pPr>
        <w:pStyle w:val="18"/>
        <w:spacing w:line="600" w:lineRule="exact"/>
        <w:ind w:firstLine="643"/>
        <w:jc w:val="both"/>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项目支出50万元.其中25万元为综合改革专项资金，严格按专项用途，用于综合改革中各项支出，包括丰收节大型庆祝农民丰收主题活动等致力于供销改革事业的专项资金；25万元为农资淡储资金，为保障春耕顺利进行，以奖补形式鼓励各惠农服务中心进行农资储备，专款专用。</w:t>
      </w:r>
    </w:p>
    <w:p>
      <w:pPr>
        <w:pStyle w:val="18"/>
        <w:spacing w:line="600" w:lineRule="exact"/>
        <w:ind w:firstLine="840" w:firstLineChars="300"/>
        <w:jc w:val="both"/>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3、专项资金管理情况分析</w:t>
      </w:r>
    </w:p>
    <w:p>
      <w:pPr>
        <w:pStyle w:val="18"/>
        <w:spacing w:line="600" w:lineRule="exact"/>
        <w:jc w:val="both"/>
        <w:rPr>
          <w:rFonts w:hint="default"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专项资金我社严格按照专项资金管理制度，设立专账，规范使用。</w:t>
      </w:r>
    </w:p>
    <w:p>
      <w:pPr>
        <w:numPr>
          <w:ilvl w:val="0"/>
          <w:numId w:val="0"/>
        </w:numPr>
        <w:spacing w:line="600" w:lineRule="exact"/>
        <w:ind w:left="640" w:left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numPr>
          <w:ilvl w:val="0"/>
          <w:numId w:val="0"/>
        </w:numPr>
        <w:spacing w:line="600" w:lineRule="exact"/>
        <w:ind w:left="640" w:leftChars="0"/>
        <w:jc w:val="both"/>
        <w:rPr>
          <w:rFonts w:hint="eastAsia" w:asciiTheme="minorEastAsia" w:hAnsiTheme="minorEastAsia" w:eastAsiaTheme="minorEastAsia" w:cstheme="minorEastAsia"/>
          <w:snapToGrid w:val="0"/>
          <w:color w:val="000000"/>
          <w:kern w:val="0"/>
          <w:sz w:val="28"/>
          <w:szCs w:val="28"/>
          <w:lang w:val="en-US" w:eastAsia="zh-CN" w:bidi="ar-SA"/>
        </w:rPr>
      </w:pPr>
      <w:r>
        <w:rPr>
          <w:rFonts w:hint="default" w:asciiTheme="minorEastAsia" w:hAnsiTheme="minorEastAsia" w:eastAsiaTheme="minorEastAsia" w:cstheme="minorEastAsia"/>
          <w:snapToGrid w:val="0"/>
          <w:color w:val="000000"/>
          <w:kern w:val="0"/>
          <w:sz w:val="28"/>
          <w:szCs w:val="28"/>
          <w:lang w:val="en-US" w:eastAsia="zh-CN" w:bidi="ar-SA"/>
        </w:rPr>
        <w:t>政府性基金预算支出</w:t>
      </w:r>
      <w:r>
        <w:rPr>
          <w:rFonts w:hint="eastAsia" w:asciiTheme="minorEastAsia" w:hAnsiTheme="minorEastAsia" w:eastAsiaTheme="minorEastAsia" w:cstheme="minorEastAsia"/>
          <w:snapToGrid w:val="0"/>
          <w:color w:val="000000"/>
          <w:kern w:val="0"/>
          <w:sz w:val="28"/>
          <w:szCs w:val="28"/>
          <w:lang w:val="en-US" w:eastAsia="zh-CN" w:bidi="ar-SA"/>
        </w:rPr>
        <w:t>0万元。</w:t>
      </w:r>
    </w:p>
    <w:p>
      <w:pPr>
        <w:numPr>
          <w:ilvl w:val="0"/>
          <w:numId w:val="3"/>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方正黑体_GBK" w:eastAsia="方正黑体_GBK"/>
          <w:kern w:val="0"/>
          <w:sz w:val="32"/>
          <w:szCs w:val="32"/>
          <w:lang w:eastAsia="zh-CN"/>
        </w:rPr>
      </w:pPr>
      <w:r>
        <w:rPr>
          <w:rFonts w:hint="eastAsia" w:asciiTheme="minorEastAsia" w:hAnsiTheme="minorEastAsia" w:eastAsiaTheme="minorEastAsia" w:cstheme="minorEastAsia"/>
          <w:snapToGrid w:val="0"/>
          <w:color w:val="000000"/>
          <w:kern w:val="0"/>
          <w:sz w:val="28"/>
          <w:szCs w:val="28"/>
          <w:lang w:val="en-US" w:eastAsia="zh-CN" w:bidi="ar-SA"/>
        </w:rPr>
        <w:t>无</w:t>
      </w:r>
      <w:r>
        <w:rPr>
          <w:rFonts w:hint="default" w:asciiTheme="minorEastAsia" w:hAnsiTheme="minorEastAsia" w:eastAsiaTheme="minorEastAsia" w:cstheme="minorEastAsia"/>
          <w:snapToGrid w:val="0"/>
          <w:color w:val="000000"/>
          <w:kern w:val="0"/>
          <w:sz w:val="28"/>
          <w:szCs w:val="28"/>
          <w:lang w:val="en-US" w:eastAsia="zh-CN" w:bidi="ar-SA"/>
        </w:rPr>
        <w:t>国有资本经营预算支出情况</w:t>
      </w:r>
      <w:r>
        <w:rPr>
          <w:rFonts w:hint="eastAsia" w:asciiTheme="minorEastAsia" w:hAnsiTheme="minorEastAsia" w:eastAsiaTheme="minorEastAsia" w:cstheme="minorEastAsia"/>
          <w:snapToGrid w:val="0"/>
          <w:color w:val="000000"/>
          <w:kern w:val="0"/>
          <w:sz w:val="28"/>
          <w:szCs w:val="28"/>
          <w:lang w:val="en-US" w:eastAsia="zh-CN" w:bidi="ar-SA"/>
        </w:rPr>
        <w:t>。</w:t>
      </w:r>
    </w:p>
    <w:p>
      <w:pPr>
        <w:numPr>
          <w:ilvl w:val="0"/>
          <w:numId w:val="3"/>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numPr>
          <w:ilvl w:val="0"/>
          <w:numId w:val="0"/>
        </w:numPr>
        <w:spacing w:line="600" w:lineRule="exact"/>
        <w:ind w:firstLine="560" w:firstLineChars="200"/>
        <w:jc w:val="both"/>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无</w:t>
      </w:r>
      <w:r>
        <w:rPr>
          <w:rFonts w:hint="default" w:asciiTheme="minorEastAsia" w:hAnsiTheme="minorEastAsia" w:eastAsiaTheme="minorEastAsia" w:cstheme="minorEastAsia"/>
          <w:snapToGrid w:val="0"/>
          <w:color w:val="000000"/>
          <w:kern w:val="0"/>
          <w:sz w:val="28"/>
          <w:szCs w:val="28"/>
          <w:lang w:val="en-US" w:eastAsia="zh-CN" w:bidi="ar-SA"/>
        </w:rPr>
        <w:t>社会保险基金预算支出情况</w:t>
      </w:r>
      <w:r>
        <w:rPr>
          <w:rFonts w:hint="eastAsia" w:asciiTheme="minorEastAsia" w:hAnsiTheme="minorEastAsia" w:eastAsiaTheme="minorEastAsia" w:cstheme="minorEastAsia"/>
          <w:snapToGrid w:val="0"/>
          <w:color w:val="000000"/>
          <w:kern w:val="0"/>
          <w:sz w:val="28"/>
          <w:szCs w:val="28"/>
          <w:lang w:val="en-US" w:eastAsia="zh-CN" w:bidi="ar-SA"/>
        </w:rPr>
        <w:t>。</w:t>
      </w:r>
    </w:p>
    <w:p>
      <w:pPr>
        <w:numPr>
          <w:ilvl w:val="0"/>
          <w:numId w:val="3"/>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部门整体支出绩效情况</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default"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按照财政预算绩效管理工作的总体要求，2022年本单位整体支出绩效目标561.55万元，其中：基本支出511.55万元，项目支出50万元，全部实行整体支出绩效目标管理。</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default" w:asciiTheme="minorEastAsia" w:hAnsiTheme="minorEastAsia" w:eastAsiaTheme="minorEastAsia" w:cstheme="minorEastAsia"/>
          <w:snapToGrid w:val="0"/>
          <w:color w:val="000000"/>
          <w:kern w:val="0"/>
          <w:sz w:val="28"/>
          <w:szCs w:val="28"/>
          <w:lang w:val="en-US" w:eastAsia="zh-CN" w:bidi="ar-SA"/>
        </w:rPr>
        <w:t>整体绩效目标</w:t>
      </w:r>
      <w:r>
        <w:rPr>
          <w:rFonts w:hint="eastAsia" w:asciiTheme="minorEastAsia" w:hAnsiTheme="minorEastAsia" w:eastAsiaTheme="minorEastAsia" w:cstheme="minorEastAsia"/>
          <w:snapToGrid w:val="0"/>
          <w:color w:val="000000"/>
          <w:kern w:val="0"/>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default" w:asciiTheme="minorEastAsia" w:hAnsiTheme="minorEastAsia" w:eastAsiaTheme="minorEastAsia" w:cstheme="minorEastAsia"/>
          <w:snapToGrid w:val="0"/>
          <w:color w:val="000000"/>
          <w:kern w:val="0"/>
          <w:sz w:val="28"/>
          <w:szCs w:val="28"/>
          <w:lang w:val="en-US" w:eastAsia="zh-CN" w:bidi="ar-SA"/>
        </w:rPr>
      </w:pPr>
      <w:r>
        <w:rPr>
          <w:rFonts w:hint="default" w:asciiTheme="minorEastAsia" w:hAnsiTheme="minorEastAsia" w:eastAsiaTheme="minorEastAsia" w:cstheme="minorEastAsia"/>
          <w:snapToGrid w:val="0"/>
          <w:color w:val="000000"/>
          <w:kern w:val="0"/>
          <w:sz w:val="28"/>
          <w:szCs w:val="28"/>
          <w:lang w:val="en-US" w:eastAsia="zh-CN" w:bidi="ar-SA"/>
        </w:rPr>
        <w:t>任务</w:t>
      </w:r>
      <w:r>
        <w:rPr>
          <w:rFonts w:hint="eastAsia" w:asciiTheme="minorEastAsia" w:hAnsiTheme="minorEastAsia" w:eastAsiaTheme="minorEastAsia" w:cstheme="minorEastAsia"/>
          <w:snapToGrid w:val="0"/>
          <w:color w:val="000000"/>
          <w:kern w:val="0"/>
          <w:sz w:val="28"/>
          <w:szCs w:val="28"/>
          <w:lang w:val="en-US" w:eastAsia="zh-CN" w:bidi="ar-SA"/>
        </w:rPr>
        <w:t>1</w:t>
      </w:r>
      <w:r>
        <w:rPr>
          <w:rFonts w:hint="default" w:asciiTheme="minorEastAsia" w:hAnsiTheme="minorEastAsia" w:eastAsiaTheme="minorEastAsia" w:cstheme="minorEastAsia"/>
          <w:snapToGrid w:val="0"/>
          <w:color w:val="000000"/>
          <w:kern w:val="0"/>
          <w:sz w:val="28"/>
          <w:szCs w:val="28"/>
          <w:lang w:val="en-US" w:eastAsia="zh-CN" w:bidi="ar-SA"/>
        </w:rPr>
        <w:t>：完善机关制度，严格要求。加强</w:t>
      </w:r>
      <w:r>
        <w:rPr>
          <w:rFonts w:hint="eastAsia" w:asciiTheme="minorEastAsia" w:hAnsiTheme="minorEastAsia" w:eastAsiaTheme="minorEastAsia" w:cstheme="minorEastAsia"/>
          <w:snapToGrid w:val="0"/>
          <w:color w:val="000000"/>
          <w:kern w:val="0"/>
          <w:sz w:val="28"/>
          <w:szCs w:val="28"/>
          <w:lang w:val="en-US" w:eastAsia="zh-CN" w:bidi="ar-SA"/>
        </w:rPr>
        <w:t>各项</w:t>
      </w:r>
      <w:r>
        <w:rPr>
          <w:rFonts w:hint="default" w:asciiTheme="minorEastAsia" w:hAnsiTheme="minorEastAsia" w:eastAsiaTheme="minorEastAsia" w:cstheme="minorEastAsia"/>
          <w:snapToGrid w:val="0"/>
          <w:color w:val="000000"/>
          <w:kern w:val="0"/>
          <w:sz w:val="28"/>
          <w:szCs w:val="28"/>
          <w:lang w:val="en-US" w:eastAsia="zh-CN" w:bidi="ar-SA"/>
        </w:rPr>
        <w:t>管理制度。</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default" w:asciiTheme="minorEastAsia" w:hAnsiTheme="minorEastAsia" w:eastAsiaTheme="minorEastAsia" w:cstheme="minorEastAsia"/>
          <w:snapToGrid w:val="0"/>
          <w:color w:val="000000"/>
          <w:kern w:val="0"/>
          <w:sz w:val="28"/>
          <w:szCs w:val="28"/>
          <w:lang w:val="en-US" w:eastAsia="zh-CN" w:bidi="ar-SA"/>
        </w:rPr>
        <w:t>任务</w:t>
      </w:r>
      <w:r>
        <w:rPr>
          <w:rFonts w:hint="eastAsia" w:asciiTheme="minorEastAsia" w:hAnsiTheme="minorEastAsia" w:eastAsiaTheme="minorEastAsia" w:cstheme="minorEastAsia"/>
          <w:snapToGrid w:val="0"/>
          <w:color w:val="000000"/>
          <w:kern w:val="0"/>
          <w:sz w:val="28"/>
          <w:szCs w:val="28"/>
          <w:lang w:val="en-US" w:eastAsia="zh-CN" w:bidi="ar-SA"/>
        </w:rPr>
        <w:t>2</w:t>
      </w:r>
      <w:r>
        <w:rPr>
          <w:rFonts w:hint="default" w:asciiTheme="minorEastAsia" w:hAnsiTheme="minorEastAsia" w:eastAsiaTheme="minorEastAsia" w:cstheme="minorEastAsia"/>
          <w:snapToGrid w:val="0"/>
          <w:color w:val="000000"/>
          <w:kern w:val="0"/>
          <w:sz w:val="28"/>
          <w:szCs w:val="28"/>
          <w:lang w:val="en-US" w:eastAsia="zh-CN" w:bidi="ar-SA"/>
        </w:rPr>
        <w:t>：</w:t>
      </w:r>
      <w:r>
        <w:rPr>
          <w:rFonts w:hint="eastAsia" w:asciiTheme="minorEastAsia" w:hAnsiTheme="minorEastAsia" w:eastAsiaTheme="minorEastAsia" w:cstheme="minorEastAsia"/>
          <w:snapToGrid w:val="0"/>
          <w:color w:val="000000"/>
          <w:kern w:val="0"/>
          <w:sz w:val="28"/>
          <w:szCs w:val="28"/>
          <w:lang w:val="en-US" w:eastAsia="zh-CN" w:bidi="ar-SA"/>
        </w:rPr>
        <w:t>农资淡季储备项目，保证淡季农资储备量，春耕顺利进行。</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default"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任务3：</w:t>
      </w:r>
      <w:r>
        <w:rPr>
          <w:rFonts w:hint="default" w:asciiTheme="minorEastAsia" w:hAnsiTheme="minorEastAsia" w:eastAsiaTheme="minorEastAsia" w:cstheme="minorEastAsia"/>
          <w:snapToGrid w:val="0"/>
          <w:color w:val="000000"/>
          <w:kern w:val="0"/>
          <w:sz w:val="28"/>
          <w:szCs w:val="28"/>
          <w:lang w:val="en-US" w:eastAsia="zh-CN" w:bidi="ar-SA"/>
        </w:rPr>
        <w:t>改造，积极服务新农村，做好服务三农工作，深化改革,建立惠农服务体系，服务基层。深化改革项目，打造新的供销系统，为农服务。长远意义上能方便惠及广大农民，转变其消费观念</w:t>
      </w:r>
      <w:r>
        <w:rPr>
          <w:rFonts w:hint="eastAsia" w:asciiTheme="minorEastAsia" w:hAnsiTheme="minorEastAsia" w:eastAsiaTheme="minorEastAsia" w:cstheme="minorEastAsia"/>
          <w:snapToGrid w:val="0"/>
          <w:color w:val="000000"/>
          <w:kern w:val="0"/>
          <w:sz w:val="28"/>
          <w:szCs w:val="28"/>
          <w:lang w:val="en-US" w:eastAsia="zh-CN" w:bidi="ar-SA"/>
        </w:rPr>
        <w:t>，承接农民丰收节现场会在汨罗召开，乡村振兴消费扶贫的组织与实施。</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完成情况：</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1.完善企业管理制度，将社有资产归集管理。我社根据市委市政府工作部署，统一思想，迅速行动，于2022年3月7日启动社有资产归集工作，并成立了社有资产归集工作领导小组。3至4月我社克服诸多困难，圆满完成股权归集工作，共办理52个自然人（含死亡人员4人）股权归集，完成6个股份公司自然人股权归集到公司名下，并明确公司法人代表的股权为公司所有，不享有公司资产的升值、收益的分红，避免以后引起不必要的法律纠纷。5月7日至27日，对供销社下辖6个公司、4个区社及机关的划拨用地、地上构筑物使用全站仪、测距仪进行全面复测。协调不动产中心启动权证调查，核资核产，已办理不动产证81本。目前，与市领导及楚之晟公司协调后，正在筹备成立新公司入股农投公司。</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2.协助市委市政府成功承办丰收节。2022年中国农民丰收节全国供销合作社（湖南汨罗）主题日活动于9月23日在汨罗长乐镇长乐村圆满举行。本次活动成立了以市委书记为顾问、市长为主任、市委常委、市政府副市长等市级领导为副主任、各相关单位主要负责人为成员的活动组委会，下设9个工作小组。活动围绕“一主五区十活动”主题，结合供销合作社综合改革发展成果，现场共吸引游客近3万人，51家企业组织了200余种特优农产品，设立38个展台。网红主播100余人参展和现场直播。当天累计通过线上销售农产品500余万元，线下210余万元，现场团购订单突破1200余万元。人民日报、中央电视台、农民日报、湖南卫视等30多家主流媒体大力推介宣传了本次活动，活动取得圆满成功。中华全国供销总社理事会副主任侯顺利指出“本次活动比今年农业农村部、商务部、中央广播电视总台、国家林业和草原局、中华全国供销合作总社在北京市密云区联合发起的2022年中国农民丰收节金秋消费季活动的启动仪式还好，是中国农民丰收节全国供销合作社5次主题日活动中效果最好的一次”；省委副书记朱国贤在省人民政府办公厅公文请示呈批单上对本次活动作出批示：精心组织，成效明显。</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3. 落实对口消费帮扶。为贯彻落实湖南省、岳阳市、汨罗市关于对口帮扶保靖县有关文件精神，切实做好消费帮扶工作，我社班子与平波书记、艳平副市长及相关单位的主要负责人一行于10月14日至15日赴保靖县进行了考察交流，在组织领导、人才支援与交流、资金支持、产业合作、劳务合作等方面如何开展务实有效的帮扶工作与保靖县进行了商讨，并确定了采购产品。为做好此项工作我社积极对接“832平台”、“湖南省政府采购电子卖场乡村振兴馆”、“岳阳消费帮扶网”和汨罗市消费帮扶馆，明确由乐村淘供销电子商务有限公司进行产品配送，配送工作我社全程指导、协助。消费帮扶农特产品于11月13日陆续抵汨，截止12月2日，已完成全市各单位的配送工作，共计配送出产品12596份。</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4.公司区社工作显著成效，我社下辖各公司区社加强对到期门面租金采取评估价格，市场竞价租赁等方式，增加经营收入。今年兴桃地区供销社通过汨罗平正拍卖公司将五巷门面成功出租。各下辖公司区社圆满完成了我社下达的工作任务。</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5.我社积极响应政府号召，根据文件精神，在职人员轮流参加三城同创活动，得到广大人民群众好评。</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default"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6.我社实行产业扶贫，帮助更多实体微小企业。</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1.机关资金紧张，由于历史遗留问题，机关无编人员多，经费紧张，缺口大。机关办公经费严重不足，工作难以运转。</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2.缺乏项目资金，我社下辖企业较多，基本都是困难企业，由于年久失修，需要改造的网点也多，需要政府财政扶持。</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3.我社系统摊子大，人多，维稳压力大。</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4.我社所属公司门面收入少，欠社保费3388万元，利息滞纳金1831万元，难以保证退休。</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1.节约资金，花钱花在刀刃上。增加相关办公经费。</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2.除了自身的盘活资产，积极拓展开发项目外，还需要政府政策和资金的支持。</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3.系统上下人员需密切配合，共同努力化解各类矛盾。</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4.请求政府出面减免欠缴社保全部利息滞纳金1831万元。</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1、按规定内容公开预决算信息；</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2、按规定时限公开预决算信息；</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default"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3、开展绩效运行监控工作，及时了解整体支出进度。</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报告需要以下附件：</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1、部门整体支出绩效评价基础数据表</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2、部门整体支出绩效自评表</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3、项目支出绩效自评表（每个一级项目支出一张表）</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4、政府性基金预算支出情况表</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5、国有资本经营预算支出情况表</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r>
        <w:rPr>
          <w:rFonts w:hint="eastAsia" w:asciiTheme="minorEastAsia" w:hAnsiTheme="minorEastAsia" w:eastAsiaTheme="minorEastAsia" w:cstheme="minorEastAsia"/>
          <w:snapToGrid w:val="0"/>
          <w:color w:val="000000"/>
          <w:kern w:val="0"/>
          <w:sz w:val="28"/>
          <w:szCs w:val="28"/>
          <w:lang w:val="en-US" w:eastAsia="zh-CN" w:bidi="ar-SA"/>
        </w:rPr>
        <w:t>6、社会保险基金预算支出情况表</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snapToGrid w:val="0"/>
          <w:color w:val="000000"/>
          <w:kern w:val="0"/>
          <w:sz w:val="28"/>
          <w:szCs w:val="28"/>
          <w:lang w:val="en-US" w:eastAsia="zh-CN" w:bidi="ar-SA"/>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rPr>
          <w:rFonts w:ascii="Times New Roman" w:hAnsi="Times New Roman" w:eastAsia="Times New Roman" w:cs="Times New Roman"/>
          <w:spacing w:val="15"/>
          <w:position w:val="10"/>
          <w:sz w:val="42"/>
          <w:szCs w:val="42"/>
        </w:rPr>
      </w:pPr>
    </w:p>
    <w:p>
      <w:pPr>
        <w:spacing w:before="201" w:line="578" w:lineRule="exact"/>
        <w:rPr>
          <w:rFonts w:ascii="Times New Roman" w:hAnsi="Times New Roman" w:eastAsia="Times New Roman" w:cs="Times New Roman"/>
          <w:spacing w:val="15"/>
          <w:position w:val="10"/>
          <w:sz w:val="42"/>
          <w:szCs w:val="42"/>
        </w:rPr>
      </w:pPr>
    </w:p>
    <w:p>
      <w:pPr>
        <w:spacing w:before="201" w:line="578" w:lineRule="exact"/>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Times New Roman" w:hAnsi="Times New Roman" w:eastAsia="宋体" w:cs="Times New Roman"/>
          <w:position w:val="10"/>
          <w:sz w:val="42"/>
          <w:szCs w:val="42"/>
          <w:lang w:eastAsia="zh-CN"/>
        </w:rPr>
        <w:t>汨罗市供销合作社联合社</w:t>
      </w:r>
      <w:r>
        <w:rPr>
          <w:rFonts w:ascii="Times New Roman" w:hAnsi="Times New Roman" w:eastAsia="Times New Roman" w:cs="Times New Roman"/>
          <w:spacing w:val="42"/>
          <w:position w:val="10"/>
          <w:sz w:val="42"/>
          <w:szCs w:val="42"/>
        </w:rPr>
        <w:t xml:space="preserve"> </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8"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420" w:firstLineChars="200"/>
        <w:jc w:val="both"/>
        <w:textAlignment w:val="baseline"/>
        <w:rPr>
          <w:rFonts w:hint="eastAsia" w:eastAsia="仿宋_GB2312"/>
          <w:kern w:val="0"/>
          <w:sz w:val="32"/>
          <w:szCs w:val="32"/>
          <w:lang w:eastAsia="zh-CN"/>
        </w:rPr>
      </w:pPr>
      <w:r>
        <w:rPr>
          <w:rFonts w:hint="eastAsia"/>
        </w:rPr>
        <w:t xml:space="preserve">  </w:t>
      </w:r>
      <w:r>
        <w:rPr>
          <w:rFonts w:hint="eastAsia" w:eastAsia="仿宋_GB2312"/>
          <w:kern w:val="0"/>
          <w:sz w:val="28"/>
          <w:szCs w:val="28"/>
          <w:lang w:val="en-US" w:eastAsia="zh-CN"/>
        </w:rPr>
        <w:t>我社有两个项目，共计50万元。第一个是农资淡季储备专项资金，金额25万元；第二个是综合改革专项资金，金额25万元。  此项目报告包含了两个项目，把两个项目合并称供销社项目资金。</w:t>
      </w:r>
      <w:r>
        <w:rPr>
          <w:rFonts w:hint="eastAsia" w:eastAsia="仿宋_GB2312"/>
          <w:kern w:val="0"/>
          <w:sz w:val="28"/>
          <w:szCs w:val="28"/>
          <w:lang w:val="en-US" w:eastAsia="en-US"/>
        </w:rPr>
        <w:t xml:space="preserve"> </w:t>
      </w:r>
      <w:r>
        <w:rPr>
          <w:rFonts w:hint="eastAsia"/>
        </w:rPr>
        <w:t xml:space="preserve">                                                                      </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560" w:firstLineChars="200"/>
        <w:jc w:val="both"/>
        <w:textAlignment w:val="baseline"/>
        <w:rPr>
          <w:rFonts w:hint="eastAsia" w:eastAsia="仿宋_GB2312"/>
          <w:kern w:val="0"/>
          <w:sz w:val="28"/>
          <w:szCs w:val="28"/>
          <w:lang w:val="en-US" w:eastAsia="en-US"/>
        </w:rPr>
      </w:pPr>
      <w:r>
        <w:rPr>
          <w:rFonts w:hint="eastAsia" w:eastAsia="仿宋_GB2312"/>
          <w:kern w:val="0"/>
          <w:sz w:val="28"/>
          <w:szCs w:val="28"/>
          <w:lang w:val="en-US" w:eastAsia="en-US"/>
        </w:rPr>
        <w:t>资金有两部分，一部分由市社先打到丰瑞供销有限公司，再根据各惠农服务中心完成数量，奖补到各惠农服务中心。一部分与综合改革有关的支出直接从市社打到对方账户。如2022年承办丰收节，部分相关广告宣传等费用均用的综合改革专项资金。我社设立专户，专款专用，严格按财务制度用款。</w:t>
      </w:r>
      <w:r>
        <w:rPr>
          <w:rFonts w:hint="eastAsia" w:eastAsia="仿宋_GB2312"/>
          <w:kern w:val="0"/>
          <w:sz w:val="28"/>
          <w:szCs w:val="28"/>
          <w:lang w:val="en-US" w:eastAsia="zh-CN"/>
        </w:rPr>
        <w:t>我社</w:t>
      </w:r>
      <w:r>
        <w:rPr>
          <w:rFonts w:hint="eastAsia" w:eastAsia="仿宋_GB2312"/>
          <w:kern w:val="0"/>
          <w:sz w:val="28"/>
          <w:szCs w:val="28"/>
          <w:lang w:val="en-US" w:eastAsia="en-US"/>
        </w:rPr>
        <w:t>项目立项、申报、评审、监督管理、验收等阶段组织实施</w:t>
      </w:r>
      <w:r>
        <w:rPr>
          <w:rFonts w:hint="eastAsia" w:eastAsia="仿宋_GB2312"/>
          <w:kern w:val="0"/>
          <w:sz w:val="28"/>
          <w:szCs w:val="28"/>
          <w:lang w:val="en-US" w:eastAsia="zh-CN"/>
        </w:rPr>
        <w:t>均合法</w:t>
      </w:r>
      <w:r>
        <w:rPr>
          <w:rFonts w:hint="eastAsia" w:eastAsia="仿宋_GB2312"/>
          <w:kern w:val="0"/>
          <w:sz w:val="28"/>
          <w:szCs w:val="28"/>
          <w:lang w:val="en-US" w:eastAsia="en-US"/>
        </w:rPr>
        <w:t>合规。</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left="0" w:leftChars="0"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项目支出绩效目标完成程度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560" w:firstLineChars="200"/>
        <w:jc w:val="both"/>
        <w:textAlignment w:val="baseline"/>
        <w:rPr>
          <w:rFonts w:hint="eastAsia" w:ascii="Arial" w:hAnsi="Arial" w:eastAsia="仿宋_GB2312" w:cs="Arial"/>
          <w:snapToGrid w:val="0"/>
          <w:color w:val="000000"/>
          <w:kern w:val="0"/>
          <w:sz w:val="32"/>
          <w:szCs w:val="32"/>
          <w:lang w:val="en-US" w:eastAsia="zh-CN" w:bidi="ar-SA"/>
        </w:rPr>
      </w:pPr>
      <w:r>
        <w:rPr>
          <w:rFonts w:hint="eastAsia" w:eastAsia="仿宋_GB2312"/>
          <w:kern w:val="0"/>
          <w:sz w:val="28"/>
          <w:szCs w:val="28"/>
          <w:lang w:val="en-US" w:eastAsia="zh-CN"/>
        </w:rPr>
        <w:t>农资储备得到岳阳市供销社好评。为了充分发挥供销社农资主渠道作用，自开展供销社综合改革工作以来，我社多次组织十三个惠农服务中心召开农资冬储工作会议，了解市场需求，制定相关方案；积极对接岳阳市供销社下辖农资公司，保证供货渠道正规，产品质量过硬，不误农时，能准时、准点配送到各惠农服务中心。为了进一步推动农资淡储工作，市供销社积极向市委市政府争取到农资淡储补贴资金25万元。2022年底，汨罗市供销系统淡储化肥4000余吨、农药20余吨、农膜75吨、种子200多吨，还有秧盘等春耕备耕物资300多万元，确保各镇春耕生产工作顺利进行。                                                                            综合改革成效显著，一大亮点就是协助市委市政府成功承办丰收节。2022年中国农民丰收节全国供销合作社（湖南汨罗）主题日活动于9月23日在汨罗长乐镇长乐村圆满举行。本次活动成立了以市委书记为顾问、市长为主任、市委常委、市政府副市长等市级领导为副主任、各相关单位主要负责人为成员的活动组委会，下设9个工作小组。活动围绕“一主五区十活动”主题，结合供销合作社综合改革发展成果，现场共吸引游客近3万人，51家企业组织了200余种特优农产品，设立38个展台。网红主播100余人参展和现场直播。当天累计通过线上销售农产品500余万元，线下210余万元，现场团购订单突破1200余万元。人民日报、中央电视台、农民日报、湖南卫视等30多家主流媒体大力推介宣传了本次活动，活动取得圆满成功。中华全国供销总社理事会副主任侯顺利指出“本次活动比今年农业农村部、商务部、中央广播电视总台、国家林业和草原局、中华全国供销合作总社在北京市密云区联合发起的2022年中国农民丰收节金秋消费季活动的启动仪式还好，是中国农民丰收节全国供销合作社5次主题日活动中效果最好的一次”；省委副书记朱国贤在省人民政府办公厅公文请示呈批单上对本次活动作出批示：精心组织，成效明显。</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firstLine="640" w:firstLineChars="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560" w:firstLineChars="200"/>
        <w:jc w:val="both"/>
        <w:textAlignment w:val="baseline"/>
        <w:rPr>
          <w:rFonts w:hint="default" w:eastAsia="仿宋_GB2312"/>
          <w:kern w:val="0"/>
          <w:sz w:val="28"/>
          <w:szCs w:val="28"/>
          <w:lang w:val="en-US" w:eastAsia="zh-CN"/>
        </w:rPr>
      </w:pPr>
      <w:r>
        <w:rPr>
          <w:rFonts w:hint="eastAsia" w:eastAsia="仿宋_GB2312"/>
          <w:kern w:val="0"/>
          <w:sz w:val="28"/>
          <w:szCs w:val="28"/>
          <w:lang w:val="en-US" w:eastAsia="zh-CN"/>
        </w:rPr>
        <w:t>我社绩效工作完成度100%，各项指标均已完成。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560" w:firstLineChars="200"/>
        <w:jc w:val="both"/>
        <w:textAlignment w:val="baseline"/>
        <w:rPr>
          <w:rFonts w:hint="eastAsia" w:eastAsia="仿宋_GB2312"/>
          <w:kern w:val="0"/>
          <w:sz w:val="28"/>
          <w:szCs w:val="28"/>
          <w:lang w:val="en-US" w:eastAsia="zh-CN"/>
        </w:rPr>
      </w:pPr>
      <w:r>
        <w:rPr>
          <w:rFonts w:hint="eastAsia" w:eastAsia="仿宋_GB2312"/>
          <w:kern w:val="0"/>
          <w:sz w:val="28"/>
          <w:szCs w:val="28"/>
          <w:lang w:val="en-US" w:eastAsia="zh-CN"/>
        </w:rPr>
        <w:t>我社农资淡储储备量翻倍，得到岳阳市供销社好评。承接丰收节得到市委市政府好评，综合绩效评价得分99分，评价结果优秀。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四、主要经验及做法、存在的问题及原因分析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项目管理需要进一步完善相关细节，项目监督需要更加到位，控制好质量指标。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hint="eastAsia" w:ascii="黑体" w:hAnsi="黑体" w:eastAsia="黑体" w:cs="黑体"/>
          <w:b/>
          <w:bCs/>
          <w:spacing w:val="-15"/>
          <w:sz w:val="31"/>
          <w:szCs w:val="31"/>
          <w:lang w:eastAsia="zh-CN"/>
        </w:rPr>
        <w:t>五、</w:t>
      </w:r>
      <w:r>
        <w:rPr>
          <w:rFonts w:ascii="黑体" w:hAnsi="黑体" w:eastAsia="黑体" w:cs="黑体"/>
          <w:b/>
          <w:bCs/>
          <w:spacing w:val="-15"/>
          <w:sz w:val="31"/>
          <w:szCs w:val="31"/>
        </w:rPr>
        <w:t>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320" w:firstLineChars="1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1.进一步完善项目管理规章制度、监督制度执行情况，确保有章可依，有章必依；</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leftChars="200" w:firstLine="320" w:firstLineChars="1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2重视专业人才，立项时充分听取专业人员意见和建议。</w:t>
      </w:r>
    </w:p>
    <w:p>
      <w:pPr>
        <w:keepNext w:val="0"/>
        <w:keepLines w:val="0"/>
        <w:pageBreakBefore w:val="0"/>
        <w:widowControl/>
        <w:numPr>
          <w:numId w:val="0"/>
        </w:numPr>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bookmarkStart w:id="0" w:name="_GoBack"/>
      <w:bookmarkEnd w:id="0"/>
      <w:r>
        <w:rPr>
          <w:rFonts w:hint="eastAsia" w:ascii="黑体" w:hAnsi="黑体" w:eastAsia="黑体" w:cs="黑体"/>
          <w:b/>
          <w:bCs/>
          <w:spacing w:val="-15"/>
          <w:sz w:val="31"/>
          <w:szCs w:val="31"/>
          <w:lang w:eastAsia="zh-CN"/>
        </w:rPr>
        <w:t>六、</w:t>
      </w:r>
      <w:r>
        <w:rPr>
          <w:rFonts w:ascii="黑体" w:hAnsi="黑体" w:eastAsia="黑体" w:cs="黑体"/>
          <w:b/>
          <w:bCs/>
          <w:spacing w:val="-15"/>
          <w:sz w:val="31"/>
          <w:szCs w:val="31"/>
        </w:rPr>
        <w:t>其他需要说明的问题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无其他需要说明的问题</w:t>
      </w:r>
    </w:p>
    <w:sectPr>
      <w:footerReference r:id="rId9"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95EFD1"/>
    <w:multiLevelType w:val="singleLevel"/>
    <w:tmpl w:val="0E95EFD1"/>
    <w:lvl w:ilvl="0" w:tentative="0">
      <w:start w:val="1"/>
      <w:numFmt w:val="chineseCounting"/>
      <w:lvlText w:val="(%1)"/>
      <w:lvlJc w:val="left"/>
      <w:pPr>
        <w:tabs>
          <w:tab w:val="left" w:pos="312"/>
        </w:tabs>
      </w:pPr>
      <w:rPr>
        <w:rFonts w:hint="eastAsia"/>
      </w:rPr>
    </w:lvl>
  </w:abstractNum>
  <w:abstractNum w:abstractNumId="1">
    <w:nsid w:val="16A0BA2C"/>
    <w:multiLevelType w:val="singleLevel"/>
    <w:tmpl w:val="16A0BA2C"/>
    <w:lvl w:ilvl="0" w:tentative="0">
      <w:start w:val="1"/>
      <w:numFmt w:val="chineseCounting"/>
      <w:suff w:val="nothing"/>
      <w:lvlText w:val="%1、"/>
      <w:lvlJc w:val="left"/>
      <w:rPr>
        <w:rFonts w:hint="eastAsia"/>
      </w:rPr>
    </w:lvl>
  </w:abstractNum>
  <w:abstractNum w:abstractNumId="2">
    <w:nsid w:val="3A797578"/>
    <w:multiLevelType w:val="singleLevel"/>
    <w:tmpl w:val="3A797578"/>
    <w:lvl w:ilvl="0" w:tentative="0">
      <w:start w:val="2"/>
      <w:numFmt w:val="chineseCounting"/>
      <w:suff w:val="nothing"/>
      <w:lvlText w:val="（%1）"/>
      <w:lvlJc w:val="left"/>
      <w:rPr>
        <w:rFonts w:hint="eastAsia"/>
      </w:rPr>
    </w:lvl>
  </w:abstractNum>
  <w:abstractNum w:abstractNumId="3">
    <w:nsid w:val="4DBE579E"/>
    <w:multiLevelType w:val="singleLevel"/>
    <w:tmpl w:val="4DBE579E"/>
    <w:lvl w:ilvl="0" w:tentative="0">
      <w:start w:val="4"/>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OWFhNDY2NjNiMjY2OGY2MDE1ZWM1MTgyMDk3YmJkODAifQ=="/>
  </w:docVars>
  <w:rsids>
    <w:rsidRoot w:val="00000000"/>
    <w:rsid w:val="01AF3811"/>
    <w:rsid w:val="03795BF7"/>
    <w:rsid w:val="086E756B"/>
    <w:rsid w:val="089156F0"/>
    <w:rsid w:val="0A9F7018"/>
    <w:rsid w:val="0ACF37E5"/>
    <w:rsid w:val="0B400BC6"/>
    <w:rsid w:val="0D817ACF"/>
    <w:rsid w:val="0DA66FB1"/>
    <w:rsid w:val="0E68228D"/>
    <w:rsid w:val="0E916191"/>
    <w:rsid w:val="110A2F9D"/>
    <w:rsid w:val="15276E52"/>
    <w:rsid w:val="19D32FBC"/>
    <w:rsid w:val="1B132A5A"/>
    <w:rsid w:val="1E6A4395"/>
    <w:rsid w:val="1E71779F"/>
    <w:rsid w:val="1F05439B"/>
    <w:rsid w:val="21D83BA6"/>
    <w:rsid w:val="23FA0218"/>
    <w:rsid w:val="25557A3D"/>
    <w:rsid w:val="256A1B15"/>
    <w:rsid w:val="26EA5ED7"/>
    <w:rsid w:val="27A93B82"/>
    <w:rsid w:val="28BF6503"/>
    <w:rsid w:val="29E83B6B"/>
    <w:rsid w:val="2AE00186"/>
    <w:rsid w:val="2C84429B"/>
    <w:rsid w:val="308216BE"/>
    <w:rsid w:val="31B85C90"/>
    <w:rsid w:val="32006967"/>
    <w:rsid w:val="3293529C"/>
    <w:rsid w:val="34FE1149"/>
    <w:rsid w:val="38404012"/>
    <w:rsid w:val="3A550786"/>
    <w:rsid w:val="3ACF536D"/>
    <w:rsid w:val="3B7A130F"/>
    <w:rsid w:val="3D84116E"/>
    <w:rsid w:val="426576CF"/>
    <w:rsid w:val="4694481D"/>
    <w:rsid w:val="4C8D5903"/>
    <w:rsid w:val="4EC71A44"/>
    <w:rsid w:val="4F061B8E"/>
    <w:rsid w:val="4F8B6063"/>
    <w:rsid w:val="52FA3F96"/>
    <w:rsid w:val="5320213D"/>
    <w:rsid w:val="54077E93"/>
    <w:rsid w:val="55850F17"/>
    <w:rsid w:val="5650608D"/>
    <w:rsid w:val="567D61F8"/>
    <w:rsid w:val="57AE6D93"/>
    <w:rsid w:val="5E1D3A0B"/>
    <w:rsid w:val="5E8B77EE"/>
    <w:rsid w:val="5F85693F"/>
    <w:rsid w:val="5FB623A7"/>
    <w:rsid w:val="639E0992"/>
    <w:rsid w:val="673B0445"/>
    <w:rsid w:val="69552C83"/>
    <w:rsid w:val="6C397C05"/>
    <w:rsid w:val="6C9F076E"/>
    <w:rsid w:val="6E3851B0"/>
    <w:rsid w:val="75546D59"/>
    <w:rsid w:val="7A9A5D10"/>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8">
    <w:name w:val="FollowedHyperlink"/>
    <w:basedOn w:val="7"/>
    <w:uiPriority w:val="0"/>
    <w:rPr>
      <w:color w:val="303030"/>
      <w:u w:val="none"/>
    </w:rPr>
  </w:style>
  <w:style w:type="character" w:styleId="9">
    <w:name w:val="Emphasis"/>
    <w:basedOn w:val="7"/>
    <w:qFormat/>
    <w:uiPriority w:val="0"/>
    <w:rPr>
      <w:i/>
    </w:rPr>
  </w:style>
  <w:style w:type="character" w:styleId="10">
    <w:name w:val="HTML Definition"/>
    <w:basedOn w:val="7"/>
    <w:uiPriority w:val="0"/>
    <w:rPr>
      <w:i/>
    </w:rPr>
  </w:style>
  <w:style w:type="character" w:styleId="11">
    <w:name w:val="HTML Acronym"/>
    <w:basedOn w:val="7"/>
    <w:uiPriority w:val="0"/>
  </w:style>
  <w:style w:type="character" w:styleId="12">
    <w:name w:val="HTML Variable"/>
    <w:basedOn w:val="7"/>
    <w:uiPriority w:val="0"/>
    <w:rPr>
      <w:i/>
    </w:rPr>
  </w:style>
  <w:style w:type="character" w:styleId="13">
    <w:name w:val="Hyperlink"/>
    <w:basedOn w:val="7"/>
    <w:uiPriority w:val="0"/>
    <w:rPr>
      <w:color w:val="303030"/>
      <w:u w:val="none"/>
    </w:rPr>
  </w:style>
  <w:style w:type="character" w:styleId="14">
    <w:name w:val="HTML Code"/>
    <w:basedOn w:val="7"/>
    <w:uiPriority w:val="0"/>
    <w:rPr>
      <w:rFonts w:ascii="Courier New" w:hAnsi="Courier New"/>
      <w:sz w:val="20"/>
    </w:rPr>
  </w:style>
  <w:style w:type="character" w:styleId="15">
    <w:name w:val="HTML Cite"/>
    <w:basedOn w:val="7"/>
    <w:uiPriority w:val="0"/>
    <w:rPr>
      <w:i/>
    </w:rPr>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Table Text"/>
    <w:basedOn w:val="1"/>
    <w:semiHidden/>
    <w:qFormat/>
    <w:uiPriority w:val="0"/>
    <w:rPr>
      <w:rFonts w:ascii="Arial" w:hAnsi="Arial" w:eastAsia="Arial" w:cs="Arial"/>
      <w:sz w:val="21"/>
      <w:szCs w:val="21"/>
      <w:lang w:val="en-US" w:eastAsia="en-US" w:bidi="ar-SA"/>
    </w:rPr>
  </w:style>
  <w:style w:type="paragraph" w:styleId="18">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character" w:customStyle="1" w:styleId="19">
    <w:name w:val="time"/>
    <w:basedOn w:val="7"/>
    <w:qFormat/>
    <w:uiPriority w:val="0"/>
    <w:rPr>
      <w:color w:val="999999"/>
      <w:sz w:val="18"/>
      <w:szCs w:val="18"/>
    </w:rPr>
  </w:style>
  <w:style w:type="character" w:customStyle="1" w:styleId="20">
    <w:name w:val="ld-01"/>
    <w:basedOn w:val="7"/>
    <w:qFormat/>
    <w:uiPriority w:val="0"/>
  </w:style>
  <w:style w:type="character" w:customStyle="1" w:styleId="21">
    <w:name w:val="ld-02"/>
    <w:basedOn w:val="7"/>
    <w:qFormat/>
    <w:uiPriority w:val="0"/>
    <w:rPr>
      <w:b/>
      <w:bCs/>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1893</Words>
  <Characters>1955</Characters>
  <TotalTime>29</TotalTime>
  <ScaleCrop>false</ScaleCrop>
  <LinksUpToDate>false</LinksUpToDate>
  <CharactersWithSpaces>2112</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2024-07-09T03:21:24Z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2052-12.1.0.15712</vt:lpwstr>
  </property>
  <property fmtid="{D5CDD505-2E9C-101B-9397-08002B2CF9AE}" pid="6" name="ICV">
    <vt:lpwstr>A1E9AC54BF58440288AD196632C2A254_12</vt:lpwstr>
  </property>
</Properties>
</file>