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ordWrap/>
        <w:overflowPunct/>
        <w:topLinePunct w:val="0"/>
        <w:bidi w:val="0"/>
        <w:spacing w:line="360" w:lineRule="auto"/>
        <w:ind w:left="105" w:leftChars="50" w:firstLine="632" w:firstLineChars="200"/>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keepNext w:val="0"/>
        <w:keepLines w:val="0"/>
        <w:pageBreakBefore w:val="0"/>
        <w:wordWrap/>
        <w:overflowPunct/>
        <w:topLinePunct w:val="0"/>
        <w:bidi w:val="0"/>
        <w:spacing w:line="360" w:lineRule="auto"/>
        <w:ind w:left="105" w:leftChars="50" w:firstLine="912" w:firstLineChars="200"/>
        <w:jc w:val="center"/>
        <w:rPr>
          <w:rFonts w:hint="eastAsia"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w:t>
      </w:r>
    </w:p>
    <w:p>
      <w:pPr>
        <w:keepNext w:val="0"/>
        <w:keepLines w:val="0"/>
        <w:pageBreakBefore w:val="0"/>
        <w:wordWrap/>
        <w:overflowPunct/>
        <w:topLinePunct w:val="0"/>
        <w:bidi w:val="0"/>
        <w:spacing w:line="360" w:lineRule="auto"/>
        <w:ind w:left="105" w:leftChars="50" w:firstLine="912" w:firstLineChars="200"/>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基础数据表</w:t>
      </w:r>
    </w:p>
    <w:p>
      <w:pPr>
        <w:keepNext w:val="0"/>
        <w:keepLines w:val="0"/>
        <w:pageBreakBefore w:val="0"/>
        <w:wordWrap/>
        <w:overflowPunct/>
        <w:topLinePunct w:val="0"/>
        <w:bidi w:val="0"/>
        <w:spacing w:line="360" w:lineRule="auto"/>
        <w:ind w:left="105" w:leftChars="50" w:firstLine="420" w:firstLineChars="20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53</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53</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keepNext w:val="0"/>
              <w:keepLines w:val="0"/>
              <w:pageBreakBefore w:val="0"/>
              <w:wordWrap/>
              <w:overflowPunct/>
              <w:topLinePunct w:val="0"/>
              <w:bidi w:val="0"/>
              <w:spacing w:line="360" w:lineRule="auto"/>
              <w:ind w:left="105" w:leftChars="50" w:firstLine="840" w:firstLineChars="400"/>
              <w:jc w:val="left"/>
              <w:rPr>
                <w:rFonts w:hint="default" w:ascii="仿宋_GB2312" w:eastAsia="仿宋_GB2312"/>
                <w:kern w:val="0"/>
                <w:lang w:val="en-US" w:eastAsia="zh-CN"/>
              </w:rPr>
            </w:pPr>
            <w:r>
              <w:rPr>
                <w:rFonts w:hint="eastAsia" w:ascii="仿宋_GB2312" w:eastAsia="仿宋_GB2312"/>
                <w:kern w:val="0"/>
                <w:lang w:val="en-US" w:eastAsia="zh-CN"/>
              </w:rPr>
              <w:t>11.2</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eastAsia="仿宋_GB2312"/>
                <w:kern w:val="0"/>
                <w:lang w:val="en-US" w:eastAsia="zh-CN"/>
              </w:rPr>
            </w:pP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eastAsia="仿宋_GB2312"/>
                <w:kern w:val="0"/>
                <w:lang w:val="en-US" w:eastAsia="zh-CN"/>
              </w:rPr>
            </w:pP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11.2</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206</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206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6</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206</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206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hint="default" w:ascii="仿宋_GB2312" w:eastAsia="仿宋_GB2312"/>
                <w:kern w:val="0"/>
                <w:lang w:val="en-US" w:eastAsia="zh-CN"/>
              </w:rPr>
            </w:pPr>
            <w:r>
              <w:rPr>
                <w:rFonts w:hint="eastAsia" w:ascii="仿宋_GB2312" w:eastAsia="仿宋_GB2312"/>
                <w:kern w:val="0"/>
                <w:lang w:val="en-US" w:eastAsia="zh-CN"/>
              </w:rPr>
              <w:t>重大项目前期工作专项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200</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hint="default" w:ascii="仿宋_GB2312" w:eastAsia="仿宋_GB2312"/>
                <w:kern w:val="0"/>
                <w:lang w:val="en-US" w:eastAsia="zh-CN"/>
              </w:rPr>
            </w:pPr>
            <w:r>
              <w:rPr>
                <w:rFonts w:hint="eastAsia" w:ascii="仿宋_GB2312" w:eastAsia="仿宋_GB2312"/>
                <w:kern w:val="0"/>
                <w:lang w:val="en-US" w:eastAsia="zh-CN"/>
              </w:rPr>
              <w:t>重点项目建设事务中心专项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6</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6</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6.37</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6.5</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11.36</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13.5</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13.57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4.37</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eastAsia="仿宋_GB2312"/>
                <w:kern w:val="0"/>
                <w:lang w:val="en-US" w:eastAsia="zh-CN"/>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473</w:t>
            </w: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120.27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p>
        </w:tc>
        <w:tc>
          <w:tcPr>
            <w:tcW w:w="2039"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p>
        </w:tc>
        <w:tc>
          <w:tcPr>
            <w:tcW w:w="1983"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p>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keepNext w:val="0"/>
              <w:keepLines w:val="0"/>
              <w:pageBreakBefore w:val="0"/>
              <w:wordWrap/>
              <w:overflowPunct/>
              <w:topLinePunct w:val="0"/>
              <w:bidi w:val="0"/>
              <w:spacing w:line="360" w:lineRule="auto"/>
              <w:ind w:left="105" w:leftChars="50" w:firstLine="420" w:firstLineChars="200"/>
              <w:jc w:val="center"/>
              <w:rPr>
                <w:rFonts w:hint="eastAsia" w:ascii="仿宋_GB2312" w:hAnsi="宋体" w:eastAsia="仿宋_GB2312" w:cs="宋体"/>
                <w:kern w:val="0"/>
              </w:rPr>
            </w:pPr>
            <w:r>
              <w:rPr>
                <w:rFonts w:hint="eastAsia" w:ascii="仿宋_GB2312" w:hAnsi="宋体" w:eastAsia="仿宋_GB2312" w:cs="宋体"/>
                <w:kern w:val="0"/>
              </w:rPr>
              <w:t>预算投资</w:t>
            </w:r>
          </w:p>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keepNext w:val="0"/>
              <w:keepLines w:val="0"/>
              <w:pageBreakBefore w:val="0"/>
              <w:wordWrap/>
              <w:overflowPunct/>
              <w:topLinePunct w:val="0"/>
              <w:bidi w:val="0"/>
              <w:spacing w:before="128" w:line="360" w:lineRule="auto"/>
              <w:ind w:left="105" w:leftChars="50" w:firstLine="420" w:firstLineChars="20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left"/>
              <w:textAlignment w:val="baseline"/>
              <w:rPr>
                <w:rFonts w:hint="eastAsia"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1.加强宣传教育。宣传节约光荣、浪费可耻的消费理念，引导干部职工争做勤俭节约的践行者。</w:t>
            </w:r>
          </w:p>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left"/>
              <w:textAlignment w:val="baseline"/>
              <w:rPr>
                <w:rFonts w:hint="eastAsia"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2.加强食堂管理。在机关食堂实现精准化备餐，减少食材浪费;加强公务接待管理。</w:t>
            </w:r>
          </w:p>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left"/>
              <w:textAlignment w:val="baseline"/>
              <w:rPr>
                <w:rFonts w:hint="eastAsia"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3.压实主体责任。各部门需将厉行节约、反对浪费作为重要政治任务。</w:t>
            </w:r>
          </w:p>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left"/>
              <w:textAlignment w:val="baseline"/>
              <w:rPr>
                <w:rFonts w:hint="eastAsia"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4.强化追责问责。加大监督执纪力度，查处违规违纪违法使用财政资金的行为。</w:t>
            </w:r>
          </w:p>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left"/>
              <w:textAlignment w:val="baseline"/>
              <w:rPr>
                <w:rFonts w:hint="eastAsia"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5.改进设施和设备。推进电子政务、节能改造，如节水节电改造、垃圾分类、节能宣传等;加强办公耗材、用水用电、车辆管理。</w:t>
            </w:r>
          </w:p>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left"/>
              <w:textAlignment w:val="baseline"/>
              <w:rPr>
                <w:rFonts w:hint="eastAsia"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5.加强节能管理。定期检查电器、灯具、冷(暖)气关闭情况，杜绝长明灯、长流水。</w:t>
            </w:r>
          </w:p>
          <w:p>
            <w:pPr>
              <w:keepNext w:val="0"/>
              <w:keepLines w:val="0"/>
              <w:pageBreakBefore w:val="0"/>
              <w:kinsoku w:val="0"/>
              <w:wordWrap/>
              <w:overflowPunct/>
              <w:topLinePunct w:val="0"/>
              <w:autoSpaceDE w:val="0"/>
              <w:autoSpaceDN w:val="0"/>
              <w:bidi w:val="0"/>
              <w:adjustRightInd w:val="0"/>
              <w:snapToGrid w:val="0"/>
              <w:spacing w:line="360" w:lineRule="auto"/>
              <w:ind w:left="105" w:leftChars="50" w:firstLine="420" w:firstLineChars="200"/>
              <w:jc w:val="left"/>
              <w:textAlignment w:val="baseline"/>
              <w:rPr>
                <w:rFonts w:ascii="Arial" w:hAnsi="Arial" w:eastAsia="Arial" w:cs="Arial"/>
                <w:snapToGrid w:val="0"/>
                <w:color w:val="000000"/>
                <w:sz w:val="21"/>
                <w:szCs w:val="21"/>
                <w:lang w:val="en-US" w:eastAsia="en-US" w:bidi="ar-SA"/>
              </w:rPr>
            </w:pPr>
            <w:r>
              <w:rPr>
                <w:rFonts w:hint="eastAsia" w:ascii="Arial" w:hAnsi="Arial" w:eastAsia="Arial" w:cs="Arial"/>
                <w:snapToGrid w:val="0"/>
                <w:color w:val="000000"/>
                <w:sz w:val="21"/>
                <w:szCs w:val="21"/>
                <w:lang w:val="en-US" w:eastAsia="en-US" w:bidi="ar-SA"/>
              </w:rPr>
              <w:t>6.加强资产管理。严格资产配置处置、提升资产保障能力、强化计划预算控制。</w:t>
            </w:r>
          </w:p>
        </w:tc>
      </w:tr>
    </w:tbl>
    <w:p>
      <w:pPr>
        <w:keepNext w:val="0"/>
        <w:keepLines w:val="0"/>
        <w:pageBreakBefore w:val="0"/>
        <w:wordWrap/>
        <w:overflowPunct/>
        <w:topLinePunct w:val="0"/>
        <w:bidi w:val="0"/>
        <w:spacing w:line="360" w:lineRule="auto"/>
        <w:ind w:left="105" w:leftChars="50" w:firstLine="480" w:firstLineChars="200"/>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eepNext w:val="0"/>
        <w:keepLines w:val="0"/>
        <w:pageBreakBefore w:val="0"/>
        <w:kinsoku w:val="0"/>
        <w:wordWrap/>
        <w:overflowPunct/>
        <w:topLinePunct w:val="0"/>
        <w:autoSpaceDE w:val="0"/>
        <w:autoSpaceDN w:val="0"/>
        <w:bidi w:val="0"/>
        <w:adjustRightInd w:val="0"/>
        <w:snapToGrid w:val="0"/>
        <w:spacing w:before="65" w:line="360" w:lineRule="auto"/>
        <w:ind w:left="105" w:leftChars="50" w:firstLine="420" w:firstLineChars="200"/>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keepNext w:val="0"/>
        <w:keepLines w:val="0"/>
        <w:pageBreakBefore w:val="0"/>
        <w:wordWrap/>
        <w:overflowPunct/>
        <w:topLinePunct w:val="0"/>
        <w:bidi w:val="0"/>
        <w:spacing w:line="360" w:lineRule="auto"/>
        <w:ind w:left="105" w:leftChars="50" w:firstLine="400" w:firstLineChars="2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keepNext w:val="0"/>
        <w:keepLines w:val="0"/>
        <w:pageBreakBefore w:val="0"/>
        <w:wordWrap/>
        <w:overflowPunct/>
        <w:topLinePunct w:val="0"/>
        <w:bidi w:val="0"/>
        <w:spacing w:before="117" w:line="360" w:lineRule="auto"/>
        <w:ind w:left="105" w:leftChars="50" w:firstLine="632" w:firstLineChars="200"/>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keepNext w:val="0"/>
        <w:keepLines w:val="0"/>
        <w:pageBreakBefore w:val="0"/>
        <w:wordWrap/>
        <w:overflowPunct/>
        <w:topLinePunct w:val="0"/>
        <w:bidi w:val="0"/>
        <w:spacing w:before="117" w:line="360" w:lineRule="auto"/>
        <w:ind w:left="105" w:leftChars="50" w:firstLine="912" w:firstLineChars="200"/>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keepNext w:val="0"/>
        <w:keepLines w:val="0"/>
        <w:pageBreakBefore w:val="0"/>
        <w:wordWrap/>
        <w:overflowPunct/>
        <w:topLinePunct w:val="0"/>
        <w:bidi w:val="0"/>
        <w:spacing w:line="360" w:lineRule="auto"/>
        <w:ind w:left="105" w:leftChars="50" w:firstLine="420" w:firstLineChars="20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keepNext w:val="0"/>
              <w:keepLines w:val="0"/>
              <w:pageBreakBefore w:val="0"/>
              <w:wordWrap/>
              <w:overflowPunct/>
              <w:topLinePunct w:val="0"/>
              <w:bidi w:val="0"/>
              <w:spacing w:line="360" w:lineRule="auto"/>
              <w:ind w:firstLine="210" w:firstLineChars="100"/>
              <w:jc w:val="center"/>
              <w:rPr>
                <w:rFonts w:ascii="仿宋_GB2312" w:hAnsi="宋体" w:eastAsia="仿宋_GB2312" w:cs="宋体"/>
                <w:kern w:val="0"/>
                <w:lang w:eastAsia="zh-CN"/>
              </w:rPr>
            </w:pPr>
            <w:r>
              <w:rPr>
                <w:rFonts w:hint="eastAsia" w:ascii="仿宋_GB2312" w:hAnsi="宋体" w:eastAsia="仿宋_GB2312" w:cs="宋体"/>
                <w:kern w:val="0"/>
              </w:rPr>
              <w:t>预算部门名称</w:t>
            </w:r>
          </w:p>
        </w:tc>
        <w:tc>
          <w:tcPr>
            <w:tcW w:w="8905" w:type="dxa"/>
            <w:gridSpan w:val="8"/>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eastAsia="仿宋_GB2312"/>
                <w:kern w:val="0"/>
                <w:lang w:val="en-US" w:eastAsia="zh-CN"/>
              </w:rPr>
              <w:t>汨罗市发展和改革局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249" w:type="dxa"/>
            <w:vAlign w:val="center"/>
          </w:tcPr>
          <w:p>
            <w:pPr>
              <w:keepNext w:val="0"/>
              <w:keepLines w:val="0"/>
              <w:pageBreakBefore w:val="0"/>
              <w:wordWrap/>
              <w:overflowPunct/>
              <w:topLinePunct w:val="0"/>
              <w:bidi w:val="0"/>
              <w:spacing w:line="360" w:lineRule="auto"/>
              <w:ind w:firstLine="210" w:firstLineChars="100"/>
              <w:jc w:val="left"/>
              <w:rPr>
                <w:rFonts w:hint="eastAsia" w:ascii="仿宋_GB2312" w:hAnsi="宋体" w:eastAsia="仿宋_GB2312" w:cs="宋体"/>
                <w:kern w:val="0"/>
              </w:rPr>
            </w:pPr>
            <w:r>
              <w:rPr>
                <w:rFonts w:hint="eastAsia" w:ascii="仿宋_GB2312" w:hAnsi="宋体" w:eastAsia="仿宋_GB2312" w:cs="宋体"/>
                <w:kern w:val="0"/>
              </w:rPr>
              <w:t>年初</w:t>
            </w:r>
          </w:p>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keepNext w:val="0"/>
              <w:keepLines w:val="0"/>
              <w:pageBreakBefore w:val="0"/>
              <w:wordWrap/>
              <w:overflowPunct/>
              <w:topLinePunct w:val="0"/>
              <w:bidi w:val="0"/>
              <w:spacing w:line="360" w:lineRule="auto"/>
              <w:ind w:firstLine="210" w:firstLineChars="100"/>
              <w:jc w:val="left"/>
              <w:rPr>
                <w:rFonts w:hint="eastAsia" w:ascii="仿宋_GB2312" w:hAnsi="宋体" w:eastAsia="仿宋_GB2312" w:cs="宋体"/>
                <w:kern w:val="0"/>
              </w:rPr>
            </w:pPr>
            <w:r>
              <w:rPr>
                <w:rFonts w:hint="eastAsia" w:ascii="仿宋_GB2312" w:hAnsi="宋体" w:eastAsia="仿宋_GB2312" w:cs="宋体"/>
                <w:kern w:val="0"/>
              </w:rPr>
              <w:t>全年</w:t>
            </w:r>
          </w:p>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keepNext w:val="0"/>
              <w:keepLines w:val="0"/>
              <w:pageBreakBefore w:val="0"/>
              <w:wordWrap/>
              <w:overflowPunct/>
              <w:topLinePunct w:val="0"/>
              <w:bidi w:val="0"/>
              <w:spacing w:line="360" w:lineRule="auto"/>
              <w:ind w:firstLine="210" w:firstLineChars="100"/>
              <w:jc w:val="left"/>
              <w:rPr>
                <w:rFonts w:hint="eastAsia" w:ascii="仿宋_GB2312" w:hAnsi="宋体" w:eastAsia="仿宋_GB2312" w:cs="宋体"/>
                <w:kern w:val="0"/>
              </w:rPr>
            </w:pPr>
            <w:r>
              <w:rPr>
                <w:rFonts w:hint="eastAsia" w:ascii="仿宋_GB2312" w:hAnsi="宋体" w:eastAsia="仿宋_GB2312" w:cs="宋体"/>
                <w:kern w:val="0"/>
              </w:rPr>
              <w:t>全年</w:t>
            </w:r>
          </w:p>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hAnsi="宋体" w:eastAsia="仿宋_GB2312" w:cs="宋体"/>
                <w:kern w:val="0"/>
              </w:rPr>
              <w:t>分值</w:t>
            </w:r>
          </w:p>
        </w:tc>
        <w:tc>
          <w:tcPr>
            <w:tcW w:w="869"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2098"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keepNext w:val="0"/>
              <w:keepLines w:val="0"/>
              <w:pageBreakBefore w:val="0"/>
              <w:wordWrap/>
              <w:overflowPunct/>
              <w:topLinePunct w:val="0"/>
              <w:bidi w:val="0"/>
              <w:spacing w:line="36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682.16</w:t>
            </w:r>
          </w:p>
        </w:tc>
        <w:tc>
          <w:tcPr>
            <w:tcW w:w="1298" w:type="dxa"/>
            <w:vAlign w:val="center"/>
          </w:tcPr>
          <w:p>
            <w:pPr>
              <w:keepNext w:val="0"/>
              <w:keepLines w:val="0"/>
              <w:pageBreakBefore w:val="0"/>
              <w:wordWrap/>
              <w:overflowPunct/>
              <w:topLinePunct w:val="0"/>
              <w:bidi w:val="0"/>
              <w:spacing w:line="36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9617.96</w:t>
            </w:r>
          </w:p>
        </w:tc>
        <w:tc>
          <w:tcPr>
            <w:tcW w:w="1269" w:type="dxa"/>
            <w:vAlign w:val="center"/>
          </w:tcPr>
          <w:p>
            <w:pPr>
              <w:keepNext w:val="0"/>
              <w:keepLines w:val="0"/>
              <w:pageBreakBefore w:val="0"/>
              <w:wordWrap/>
              <w:overflowPunct/>
              <w:topLinePunct w:val="0"/>
              <w:bidi w:val="0"/>
              <w:spacing w:line="360" w:lineRule="auto"/>
              <w:ind w:firstLine="210" w:firstLineChars="100"/>
              <w:jc w:val="center"/>
              <w:rPr>
                <w:rFonts w:ascii="仿宋_GB2312" w:eastAsia="仿宋_GB2312"/>
                <w:kern w:val="0"/>
              </w:rPr>
            </w:pPr>
            <w:r>
              <w:rPr>
                <w:rFonts w:hint="eastAsia" w:ascii="仿宋_GB2312" w:eastAsia="仿宋_GB2312"/>
                <w:kern w:val="0"/>
              </w:rPr>
              <w:t>9617.96</w:t>
            </w:r>
          </w:p>
        </w:tc>
        <w:tc>
          <w:tcPr>
            <w:tcW w:w="699" w:type="dxa"/>
            <w:vAlign w:val="center"/>
          </w:tcPr>
          <w:p>
            <w:pPr>
              <w:keepNext w:val="0"/>
              <w:keepLines w:val="0"/>
              <w:pageBreakBefore w:val="0"/>
              <w:wordWrap/>
              <w:overflowPunct/>
              <w:topLinePunct w:val="0"/>
              <w:bidi w:val="0"/>
              <w:spacing w:line="360" w:lineRule="auto"/>
              <w:ind w:firstLine="210" w:firstLineChars="100"/>
              <w:jc w:val="both"/>
              <w:rPr>
                <w:rFonts w:ascii="仿宋_GB2312" w:eastAsia="仿宋_GB2312"/>
                <w:kern w:val="0"/>
              </w:rPr>
            </w:pPr>
            <w:r>
              <w:rPr>
                <w:rFonts w:hint="eastAsia" w:ascii="仿宋_GB2312" w:eastAsia="仿宋_GB2312"/>
                <w:kern w:val="0"/>
              </w:rPr>
              <w:t>10</w:t>
            </w:r>
          </w:p>
        </w:tc>
        <w:tc>
          <w:tcPr>
            <w:tcW w:w="869" w:type="dxa"/>
            <w:vAlign w:val="center"/>
          </w:tcPr>
          <w:p>
            <w:pPr>
              <w:keepNext w:val="0"/>
              <w:keepLines w:val="0"/>
              <w:pageBreakBefore w:val="0"/>
              <w:wordWrap/>
              <w:overflowPunct/>
              <w:topLinePunct w:val="0"/>
              <w:bidi w:val="0"/>
              <w:spacing w:line="36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both"/>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4645"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4645"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9617.96</w:t>
            </w:r>
          </w:p>
        </w:tc>
        <w:tc>
          <w:tcPr>
            <w:tcW w:w="426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其中：基本支出：710.12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4645"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项目支出：8907.84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4645"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p>
        </w:tc>
        <w:tc>
          <w:tcPr>
            <w:tcW w:w="4645"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8" w:hRule="atLeast"/>
        </w:trPr>
        <w:tc>
          <w:tcPr>
            <w:tcW w:w="1074" w:type="dxa"/>
            <w:vMerge w:val="continue"/>
            <w:tcBorders>
              <w:top w:val="nil"/>
            </w:tcBorders>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rPr>
            </w:pPr>
          </w:p>
        </w:tc>
        <w:tc>
          <w:tcPr>
            <w:tcW w:w="4645" w:type="dxa"/>
            <w:gridSpan w:val="4"/>
            <w:vAlign w:val="center"/>
          </w:tcPr>
          <w:p>
            <w:pPr>
              <w:keepNext w:val="0"/>
              <w:keepLines w:val="0"/>
              <w:pageBreakBefore w:val="0"/>
              <w:tabs>
                <w:tab w:val="left" w:pos="222"/>
              </w:tabs>
              <w:wordWrap/>
              <w:overflowPunct/>
              <w:topLinePunct w:val="0"/>
              <w:bidi w:val="0"/>
              <w:spacing w:line="360" w:lineRule="auto"/>
              <w:jc w:val="left"/>
              <w:rPr>
                <w:rFonts w:hint="eastAsia" w:ascii="仿宋_GB2312" w:eastAsia="仿宋_GB2312"/>
                <w:kern w:val="0"/>
                <w:lang w:eastAsia="zh-CN"/>
              </w:rPr>
            </w:pPr>
            <w:r>
              <w:rPr>
                <w:rFonts w:hint="eastAsia" w:ascii="仿宋_GB2312" w:eastAsia="仿宋_GB2312"/>
                <w:kern w:val="0"/>
                <w:lang w:eastAsia="zh-CN"/>
              </w:rPr>
              <w:t>任务1：进一步加强经济运行预警分析，参与我市重大政策的研究和制定；编制年度国民经济和社会发展计划草案、编制汨罗市城区城镇化</w:t>
            </w:r>
            <w:r>
              <w:rPr>
                <w:rFonts w:hint="eastAsia" w:ascii="仿宋_GB2312" w:eastAsia="仿宋_GB2312"/>
                <w:kern w:val="0"/>
                <w:lang w:val="en-US" w:eastAsia="zh-CN"/>
              </w:rPr>
              <w:t>实</w:t>
            </w:r>
            <w:r>
              <w:rPr>
                <w:rFonts w:hint="eastAsia" w:ascii="仿宋_GB2312" w:eastAsia="仿宋_GB2312"/>
                <w:kern w:val="0"/>
                <w:lang w:eastAsia="zh-CN"/>
              </w:rPr>
              <w:t>施方案（2022-2025）等。</w:t>
            </w:r>
            <w:r>
              <w:rPr>
                <w:rFonts w:hint="eastAsia" w:ascii="仿宋_GB2312" w:eastAsia="仿宋_GB2312"/>
                <w:kern w:val="0"/>
                <w:lang w:val="en-US" w:eastAsia="zh-CN"/>
              </w:rPr>
              <w:t xml:space="preserve">                                </w:t>
            </w:r>
            <w:r>
              <w:rPr>
                <w:rFonts w:hint="eastAsia" w:ascii="仿宋_GB2312" w:eastAsia="仿宋_GB2312"/>
                <w:kern w:val="0"/>
                <w:lang w:eastAsia="zh-CN"/>
              </w:rPr>
              <w:t>任务2：积极推进经济社会事业体制改革，鼓励民间投资公共领域，扎实推进重大项目建设，跟踪服务实事项目，加强项目成果对接；加强窗口建设，开展项目审批工作、协调好我市基础设施、公用事业等工程建设领域项目的招投标工作。</w:t>
            </w:r>
            <w:r>
              <w:rPr>
                <w:rFonts w:hint="eastAsia" w:ascii="仿宋_GB2312" w:eastAsia="仿宋_GB2312"/>
                <w:kern w:val="0"/>
                <w:lang w:val="en-US" w:eastAsia="zh-CN"/>
              </w:rPr>
              <w:t xml:space="preserve">         </w:t>
            </w:r>
            <w:r>
              <w:rPr>
                <w:rFonts w:hint="eastAsia" w:ascii="仿宋_GB2312" w:eastAsia="仿宋_GB2312"/>
                <w:kern w:val="0"/>
                <w:lang w:eastAsia="zh-CN"/>
              </w:rPr>
              <w:t>任务3：重点项目建设（含产业项目建设年）项目评估督导，服务业“四上”单位申报和信用体系建设等工作，价格管理和调控目标，其他中心工作任务</w:t>
            </w:r>
          </w:p>
        </w:tc>
        <w:tc>
          <w:tcPr>
            <w:tcW w:w="426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r>
              <w:rPr>
                <w:rFonts w:hint="eastAsia" w:ascii="仿宋_GB2312" w:eastAsia="仿宋_GB2312"/>
                <w:kern w:val="0"/>
              </w:rPr>
              <w:t>圆满完成了十四五规划编制工作、编制年度计划工作报告的编制，争资争项达到了年初的预期目标，多个项目成功立项，重大项目顺利推进，价格调控在合理范围内。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rPr>
            </w:pPr>
          </w:p>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绩效指标</w:t>
            </w:r>
          </w:p>
          <w:p>
            <w:pPr>
              <w:keepNext w:val="0"/>
              <w:keepLines w:val="0"/>
              <w:pageBreakBefore w:val="0"/>
              <w:wordWrap/>
              <w:overflowPunct/>
              <w:topLinePunct w:val="0"/>
              <w:bidi w:val="0"/>
              <w:spacing w:line="360" w:lineRule="auto"/>
              <w:jc w:val="center"/>
              <w:rPr>
                <w:rFonts w:hint="eastAsia" w:ascii="仿宋_GB2312" w:hAnsi="宋体" w:eastAsia="仿宋_GB2312" w:cs="宋体"/>
                <w:kern w:val="0"/>
              </w:rPr>
            </w:pPr>
          </w:p>
        </w:tc>
        <w:tc>
          <w:tcPr>
            <w:tcW w:w="1069" w:type="dxa"/>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keepNext w:val="0"/>
              <w:keepLines w:val="0"/>
              <w:pageBreakBefore w:val="0"/>
              <w:wordWrap/>
              <w:overflowPunct/>
              <w:topLinePunct w:val="0"/>
              <w:bidi w:val="0"/>
              <w:spacing w:line="360" w:lineRule="auto"/>
              <w:jc w:val="center"/>
              <w:rPr>
                <w:rFonts w:ascii="仿宋_GB2312" w:eastAsia="仿宋_GB2312"/>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lang w:eastAsia="zh-CN"/>
              </w:rPr>
            </w:pPr>
          </w:p>
        </w:tc>
        <w:tc>
          <w:tcPr>
            <w:tcW w:w="1069"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产出指标</w:t>
            </w:r>
          </w:p>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编制专项工作方案和报告数量</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rPr>
              <w:t>≥2份</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2份</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重点项目开展、推进数量</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rPr>
              <w:t>≥19个</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32</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vMerge w:val="restart"/>
            <w:tcBorders>
              <w:bottom w:val="nil"/>
            </w:tcBorders>
            <w:vAlign w:val="center"/>
          </w:tcPr>
          <w:p>
            <w:pPr>
              <w:keepNext w:val="0"/>
              <w:keepLines w:val="0"/>
              <w:pageBreakBefore w:val="0"/>
              <w:wordWrap/>
              <w:overflowPunct/>
              <w:topLinePunct w:val="0"/>
              <w:bidi w:val="0"/>
              <w:spacing w:line="360" w:lineRule="auto"/>
              <w:jc w:val="both"/>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各类规划编制科学，结合实际紧密，操作性强</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达标</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达标</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项目管理、实施、验收完成率</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rPr>
              <w:t>≥90%</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rPr>
              <w:t>90%</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vMerge w:val="restart"/>
            <w:tcBorders>
              <w:bottom w:val="nil"/>
            </w:tcBorders>
            <w:vAlign w:val="center"/>
          </w:tcPr>
          <w:p>
            <w:pPr>
              <w:keepNext w:val="0"/>
              <w:keepLines w:val="0"/>
              <w:pageBreakBefore w:val="0"/>
              <w:wordWrap/>
              <w:overflowPunct/>
              <w:topLinePunct w:val="0"/>
              <w:bidi w:val="0"/>
              <w:spacing w:line="360" w:lineRule="auto"/>
              <w:jc w:val="both"/>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项目申报完成及时率</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default" w:ascii="仿宋_GB2312" w:eastAsia="仿宋_GB2312"/>
                <w:kern w:val="0"/>
                <w:lang w:val="en-US"/>
              </w:rPr>
            </w:pPr>
            <w:r>
              <w:rPr>
                <w:rFonts w:hint="eastAsia" w:ascii="仿宋_GB2312" w:eastAsia="仿宋_GB2312"/>
                <w:kern w:val="0"/>
                <w:lang w:val="en-US" w:eastAsia="zh-CN"/>
              </w:rPr>
              <w:t>90%</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4</w:t>
            </w:r>
          </w:p>
        </w:tc>
        <w:tc>
          <w:tcPr>
            <w:tcW w:w="1423"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按项目进度拨付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资金在规定的时间内下达率</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lang w:val="en-US" w:eastAsia="zh-CN"/>
              </w:rPr>
              <w:t>100%</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keepNext w:val="0"/>
              <w:keepLines w:val="0"/>
              <w:pageBreakBefore w:val="0"/>
              <w:wordWrap/>
              <w:overflowPunct/>
              <w:topLinePunct w:val="0"/>
              <w:bidi w:val="0"/>
              <w:spacing w:line="360" w:lineRule="auto"/>
              <w:jc w:val="both"/>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实现经济运行平稳</w:t>
            </w:r>
          </w:p>
        </w:tc>
        <w:tc>
          <w:tcPr>
            <w:tcW w:w="1298"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1269"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699" w:type="dxa"/>
            <w:vAlign w:val="center"/>
          </w:tcPr>
          <w:p>
            <w:pPr>
              <w:keepNext w:val="0"/>
              <w:keepLines w:val="0"/>
              <w:pageBreakBefore w:val="0"/>
              <w:wordWrap/>
              <w:overflowPunct/>
              <w:topLinePunct w:val="0"/>
              <w:bidi w:val="0"/>
              <w:spacing w:line="36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ordWrap/>
              <w:overflowPunct/>
              <w:topLinePunct w:val="0"/>
              <w:bidi w:val="0"/>
              <w:spacing w:line="360" w:lineRule="auto"/>
              <w:ind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tcBorders>
              <w:bottom w:val="nil"/>
            </w:tcBorders>
            <w:vAlign w:val="center"/>
          </w:tcPr>
          <w:p>
            <w:pPr>
              <w:keepNext w:val="0"/>
              <w:keepLines w:val="0"/>
              <w:pageBreakBefore w:val="0"/>
              <w:wordWrap/>
              <w:overflowPunct/>
              <w:topLinePunct w:val="0"/>
              <w:bidi w:val="0"/>
              <w:spacing w:line="360" w:lineRule="auto"/>
              <w:jc w:val="both"/>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促进服务型政府及智慧城市建设</w:t>
            </w:r>
          </w:p>
        </w:tc>
        <w:tc>
          <w:tcPr>
            <w:tcW w:w="1298"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1269"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699" w:type="dxa"/>
            <w:vAlign w:val="center"/>
          </w:tcPr>
          <w:p>
            <w:pPr>
              <w:keepNext w:val="0"/>
              <w:keepLines w:val="0"/>
              <w:pageBreakBefore w:val="0"/>
              <w:wordWrap/>
              <w:overflowPunct/>
              <w:topLinePunct w:val="0"/>
              <w:bidi w:val="0"/>
              <w:spacing w:line="36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ordWrap/>
              <w:overflowPunct/>
              <w:topLinePunct w:val="0"/>
              <w:bidi w:val="0"/>
              <w:spacing w:line="360" w:lineRule="auto"/>
              <w:ind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tcBorders>
              <w:bottom w:val="nil"/>
            </w:tcBorders>
            <w:vAlign w:val="center"/>
          </w:tcPr>
          <w:p>
            <w:pPr>
              <w:keepNext w:val="0"/>
              <w:keepLines w:val="0"/>
              <w:pageBreakBefore w:val="0"/>
              <w:wordWrap/>
              <w:overflowPunct/>
              <w:topLinePunct w:val="0"/>
              <w:bidi w:val="0"/>
              <w:spacing w:line="360" w:lineRule="auto"/>
              <w:jc w:val="both"/>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长江经济带生态优先绿色发展、洞庭湖生态环境整治工作推动有力；减排工作、碳达峰和碳中和工作积极推进。</w:t>
            </w:r>
          </w:p>
        </w:tc>
        <w:tc>
          <w:tcPr>
            <w:tcW w:w="1298"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1269"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699" w:type="dxa"/>
            <w:vAlign w:val="center"/>
          </w:tcPr>
          <w:p>
            <w:pPr>
              <w:keepNext w:val="0"/>
              <w:keepLines w:val="0"/>
              <w:pageBreakBefore w:val="0"/>
              <w:wordWrap/>
              <w:overflowPunct/>
              <w:topLinePunct w:val="0"/>
              <w:bidi w:val="0"/>
              <w:spacing w:line="360" w:lineRule="auto"/>
              <w:ind w:left="315" w:leftChars="1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55</w:t>
            </w:r>
          </w:p>
        </w:tc>
        <w:tc>
          <w:tcPr>
            <w:tcW w:w="869" w:type="dxa"/>
            <w:vAlign w:val="center"/>
          </w:tcPr>
          <w:p>
            <w:pPr>
              <w:keepNext w:val="0"/>
              <w:keepLines w:val="0"/>
              <w:pageBreakBefore w:val="0"/>
              <w:wordWrap/>
              <w:overflowPunct/>
              <w:topLinePunct w:val="0"/>
              <w:bidi w:val="0"/>
              <w:spacing w:line="360" w:lineRule="auto"/>
              <w:ind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4</w:t>
            </w:r>
          </w:p>
        </w:tc>
        <w:tc>
          <w:tcPr>
            <w:tcW w:w="1423"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生态环境保护还需进一步加强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tcBorders>
              <w:bottom w:val="nil"/>
            </w:tcBorders>
            <w:vAlign w:val="center"/>
          </w:tcPr>
          <w:p>
            <w:pPr>
              <w:keepNext w:val="0"/>
              <w:keepLines w:val="0"/>
              <w:pageBreakBefore w:val="0"/>
              <w:wordWrap/>
              <w:overflowPunct/>
              <w:topLinePunct w:val="0"/>
              <w:bidi w:val="0"/>
              <w:spacing w:line="360" w:lineRule="auto"/>
              <w:jc w:val="both"/>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市域经济稳步健康发展。</w:t>
            </w:r>
          </w:p>
        </w:tc>
        <w:tc>
          <w:tcPr>
            <w:tcW w:w="1298"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1269"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效益显著</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tcBorders>
              <w:bottom w:val="nil"/>
            </w:tcBorders>
            <w:vAlign w:val="center"/>
          </w:tcPr>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hAnsi="宋体" w:eastAsia="仿宋_GB2312" w:cs="宋体"/>
                <w:kern w:val="0"/>
              </w:rPr>
              <w:t>满意度指标</w:t>
            </w:r>
          </w:p>
          <w:p>
            <w:pPr>
              <w:keepNext w:val="0"/>
              <w:keepLines w:val="0"/>
              <w:pageBreakBefore w:val="0"/>
              <w:wordWrap/>
              <w:overflowPunct/>
              <w:topLinePunct w:val="0"/>
              <w:bidi w:val="0"/>
              <w:spacing w:line="36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keepNext w:val="0"/>
              <w:keepLines w:val="0"/>
              <w:pageBreakBefore w:val="0"/>
              <w:wordWrap/>
              <w:overflowPunct/>
              <w:topLinePunct w:val="0"/>
              <w:bidi w:val="0"/>
              <w:spacing w:line="360" w:lineRule="auto"/>
              <w:jc w:val="both"/>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服务对象满意度</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rPr>
              <w:t>≥90%</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95%</w:t>
            </w:r>
          </w:p>
        </w:tc>
        <w:tc>
          <w:tcPr>
            <w:tcW w:w="699" w:type="dxa"/>
            <w:vAlign w:val="center"/>
          </w:tcPr>
          <w:p>
            <w:pPr>
              <w:keepNext w:val="0"/>
              <w:keepLines w:val="0"/>
              <w:pageBreakBefore w:val="0"/>
              <w:wordWrap/>
              <w:overflowPunct/>
              <w:topLinePunct w:val="0"/>
              <w:bidi w:val="0"/>
              <w:spacing w:line="36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ordWrap/>
              <w:overflowPunct/>
              <w:topLinePunct w:val="0"/>
              <w:bidi w:val="0"/>
              <w:spacing w:line="360" w:lineRule="auto"/>
              <w:ind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restart"/>
            <w:tcBorders>
              <w:top w:val="nil"/>
            </w:tcBorders>
            <w:vAlign w:val="center"/>
          </w:tcPr>
          <w:p>
            <w:pPr>
              <w:keepNext w:val="0"/>
              <w:keepLines w:val="0"/>
              <w:pageBreakBefore w:val="0"/>
              <w:wordWrap/>
              <w:overflowPunct/>
              <w:topLinePunct w:val="0"/>
              <w:bidi w:val="0"/>
              <w:spacing w:line="36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keepNext w:val="0"/>
              <w:keepLines w:val="0"/>
              <w:pageBreakBefore w:val="0"/>
              <w:wordWrap/>
              <w:overflowPunct/>
              <w:topLinePunct w:val="0"/>
              <w:bidi w:val="0"/>
              <w:spacing w:line="36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keepNext w:val="0"/>
              <w:keepLines w:val="0"/>
              <w:pageBreakBefore w:val="0"/>
              <w:wordWrap/>
              <w:overflowPunct/>
              <w:topLinePunct w:val="0"/>
              <w:bidi w:val="0"/>
              <w:spacing w:line="360" w:lineRule="auto"/>
              <w:jc w:val="both"/>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预算成本控制情况</w:t>
            </w:r>
          </w:p>
        </w:tc>
        <w:tc>
          <w:tcPr>
            <w:tcW w:w="1298" w:type="dxa"/>
            <w:vAlign w:val="center"/>
          </w:tcPr>
          <w:p>
            <w:pPr>
              <w:keepNext w:val="0"/>
              <w:keepLines w:val="0"/>
              <w:pageBreakBefore w:val="0"/>
              <w:wordWrap/>
              <w:overflowPunct/>
              <w:topLinePunct w:val="0"/>
              <w:bidi w:val="0"/>
              <w:spacing w:line="360" w:lineRule="auto"/>
              <w:ind w:firstLine="210" w:firstLineChars="100"/>
              <w:jc w:val="center"/>
              <w:rPr>
                <w:rFonts w:ascii="仿宋_GB2312" w:eastAsia="仿宋_GB2312"/>
                <w:kern w:val="0"/>
              </w:rPr>
            </w:pPr>
            <w:r>
              <w:rPr>
                <w:rFonts w:hint="eastAsia" w:ascii="仿宋_GB2312" w:eastAsia="仿宋_GB2312"/>
                <w:kern w:val="0"/>
              </w:rPr>
              <w:t>控制在预算范围内</w:t>
            </w:r>
          </w:p>
        </w:tc>
        <w:tc>
          <w:tcPr>
            <w:tcW w:w="1269" w:type="dxa"/>
            <w:vAlign w:val="center"/>
          </w:tcPr>
          <w:p>
            <w:pPr>
              <w:keepNext w:val="0"/>
              <w:keepLines w:val="0"/>
              <w:pageBreakBefore w:val="0"/>
              <w:wordWrap/>
              <w:overflowPunct/>
              <w:topLinePunct w:val="0"/>
              <w:bidi w:val="0"/>
              <w:spacing w:line="36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810.7万元</w:t>
            </w:r>
          </w:p>
        </w:tc>
        <w:tc>
          <w:tcPr>
            <w:tcW w:w="699" w:type="dxa"/>
            <w:vAlign w:val="center"/>
          </w:tcPr>
          <w:p>
            <w:pPr>
              <w:keepNext w:val="0"/>
              <w:keepLines w:val="0"/>
              <w:pageBreakBefore w:val="0"/>
              <w:wordWrap/>
              <w:overflowPunct/>
              <w:topLinePunct w:val="0"/>
              <w:bidi w:val="0"/>
              <w:spacing w:line="36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keepNext w:val="0"/>
              <w:keepLines w:val="0"/>
              <w:pageBreakBefore w:val="0"/>
              <w:wordWrap/>
              <w:overflowPunct/>
              <w:topLinePunct w:val="0"/>
              <w:bidi w:val="0"/>
              <w:spacing w:line="360" w:lineRule="auto"/>
              <w:ind w:firstLine="420" w:firstLineChars="200"/>
              <w:jc w:val="left"/>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tcBorders>
              <w:top w:val="nil"/>
            </w:tcBorders>
            <w:vAlign w:val="center"/>
          </w:tcPr>
          <w:p>
            <w:pPr>
              <w:keepNext w:val="0"/>
              <w:keepLines w:val="0"/>
              <w:pageBreakBefore w:val="0"/>
              <w:wordWrap/>
              <w:overflowPunct/>
              <w:topLinePunct w:val="0"/>
              <w:bidi w:val="0"/>
              <w:spacing w:line="360" w:lineRule="auto"/>
              <w:jc w:val="both"/>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对社会发展可能造成的负面影响</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lang w:val="en-US" w:eastAsia="zh-CN"/>
              </w:rPr>
              <w:t>无</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lang w:val="en-US" w:eastAsia="zh-CN"/>
              </w:rPr>
              <w:t>无</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69" w:type="dxa"/>
            <w:vMerge w:val="continue"/>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c>
          <w:tcPr>
            <w:tcW w:w="1029" w:type="dxa"/>
            <w:tcBorders>
              <w:top w:val="nil"/>
            </w:tcBorders>
            <w:vAlign w:val="center"/>
          </w:tcPr>
          <w:p>
            <w:pPr>
              <w:keepNext w:val="0"/>
              <w:keepLines w:val="0"/>
              <w:pageBreakBefore w:val="0"/>
              <w:wordWrap/>
              <w:overflowPunct/>
              <w:topLinePunct w:val="0"/>
              <w:bidi w:val="0"/>
              <w:spacing w:line="360" w:lineRule="auto"/>
              <w:jc w:val="both"/>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keepNext w:val="0"/>
              <w:keepLines w:val="0"/>
              <w:pageBreakBefore w:val="0"/>
              <w:wordWrap/>
              <w:overflowPunct/>
              <w:topLinePunct w:val="0"/>
              <w:bidi w:val="0"/>
              <w:spacing w:line="360" w:lineRule="auto"/>
              <w:jc w:val="left"/>
              <w:rPr>
                <w:rFonts w:ascii="仿宋_GB2312" w:eastAsia="仿宋_GB2312"/>
                <w:kern w:val="0"/>
              </w:rPr>
            </w:pPr>
            <w:r>
              <w:rPr>
                <w:rFonts w:hint="eastAsia" w:ascii="仿宋_GB2312" w:eastAsia="仿宋_GB2312"/>
                <w:kern w:val="0"/>
              </w:rPr>
              <w:t>对自然生态环境造成的负面影响</w:t>
            </w:r>
          </w:p>
        </w:tc>
        <w:tc>
          <w:tcPr>
            <w:tcW w:w="1298"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lang w:val="en-US" w:eastAsia="zh-CN"/>
              </w:rPr>
              <w:t>无</w:t>
            </w:r>
          </w:p>
        </w:tc>
        <w:tc>
          <w:tcPr>
            <w:tcW w:w="1269" w:type="dxa"/>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rPr>
            </w:pPr>
            <w:r>
              <w:rPr>
                <w:rFonts w:hint="eastAsia" w:ascii="仿宋_GB2312" w:eastAsia="仿宋_GB2312"/>
                <w:kern w:val="0"/>
                <w:lang w:val="en-US" w:eastAsia="zh-CN"/>
              </w:rPr>
              <w:t>无</w:t>
            </w:r>
          </w:p>
        </w:tc>
        <w:tc>
          <w:tcPr>
            <w:tcW w:w="69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keepNext w:val="0"/>
              <w:keepLines w:val="0"/>
              <w:pageBreakBefore w:val="0"/>
              <w:wordWrap/>
              <w:overflowPunct/>
              <w:topLinePunct w:val="0"/>
              <w:bidi w:val="0"/>
              <w:spacing w:line="360" w:lineRule="auto"/>
              <w:ind w:left="105" w:leftChars="50" w:firstLine="420" w:firstLineChars="200"/>
              <w:jc w:val="left"/>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keepNext w:val="0"/>
              <w:keepLines w:val="0"/>
              <w:pageBreakBefore w:val="0"/>
              <w:wordWrap/>
              <w:overflowPunct/>
              <w:topLinePunct w:val="0"/>
              <w:bidi w:val="0"/>
              <w:spacing w:line="360" w:lineRule="auto"/>
              <w:ind w:left="105" w:leftChars="50" w:firstLine="420" w:firstLineChars="200"/>
              <w:jc w:val="left"/>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keepNext w:val="0"/>
              <w:keepLines w:val="0"/>
              <w:pageBreakBefore w:val="0"/>
              <w:wordWrap/>
              <w:overflowPunct/>
              <w:topLinePunct w:val="0"/>
              <w:bidi w:val="0"/>
              <w:spacing w:line="360" w:lineRule="auto"/>
              <w:ind w:firstLine="210" w:firstLineChars="100"/>
              <w:jc w:val="left"/>
              <w:rPr>
                <w:rFonts w:ascii="仿宋_GB2312" w:eastAsia="仿宋_GB2312"/>
                <w:kern w:val="0"/>
              </w:rPr>
            </w:pPr>
            <w:r>
              <w:rPr>
                <w:rFonts w:hint="eastAsia" w:ascii="仿宋_GB2312" w:eastAsia="仿宋_GB2312"/>
                <w:kern w:val="0"/>
              </w:rPr>
              <w:t>100</w:t>
            </w:r>
          </w:p>
        </w:tc>
        <w:tc>
          <w:tcPr>
            <w:tcW w:w="869" w:type="dxa"/>
            <w:vAlign w:val="center"/>
          </w:tcPr>
          <w:p>
            <w:pPr>
              <w:keepNext w:val="0"/>
              <w:keepLines w:val="0"/>
              <w:pageBreakBefore w:val="0"/>
              <w:wordWrap/>
              <w:overflowPunct/>
              <w:topLinePunct w:val="0"/>
              <w:bidi w:val="0"/>
              <w:spacing w:line="36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eastAsia="仿宋_GB2312"/>
                <w:kern w:val="0"/>
              </w:rPr>
            </w:pPr>
          </w:p>
        </w:tc>
      </w:tr>
    </w:tbl>
    <w:p>
      <w:pPr>
        <w:keepNext w:val="0"/>
        <w:keepLines w:val="0"/>
        <w:pageBreakBefore w:val="0"/>
        <w:kinsoku w:val="0"/>
        <w:wordWrap/>
        <w:overflowPunct/>
        <w:topLinePunct w:val="0"/>
        <w:autoSpaceDE w:val="0"/>
        <w:autoSpaceDN w:val="0"/>
        <w:bidi w:val="0"/>
        <w:adjustRightInd w:val="0"/>
        <w:snapToGrid w:val="0"/>
        <w:spacing w:before="293" w:line="360" w:lineRule="auto"/>
        <w:ind w:left="105" w:leftChars="50" w:firstLine="420" w:firstLineChars="200"/>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eepNext w:val="0"/>
        <w:keepLines w:val="0"/>
        <w:pageBreakBefore w:val="0"/>
        <w:kinsoku w:val="0"/>
        <w:wordWrap/>
        <w:overflowPunct/>
        <w:topLinePunct w:val="0"/>
        <w:autoSpaceDE w:val="0"/>
        <w:autoSpaceDN w:val="0"/>
        <w:bidi w:val="0"/>
        <w:adjustRightInd w:val="0"/>
        <w:snapToGrid w:val="0"/>
        <w:spacing w:before="293" w:line="360" w:lineRule="auto"/>
        <w:ind w:left="105" w:leftChars="50" w:firstLine="544" w:firstLineChars="20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293" w:line="360" w:lineRule="auto"/>
        <w:ind w:left="105" w:leftChars="50" w:firstLine="544" w:firstLineChars="20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293" w:line="360" w:lineRule="auto"/>
        <w:ind w:left="105" w:leftChars="50" w:firstLine="544" w:firstLineChars="20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293" w:line="360" w:lineRule="auto"/>
        <w:ind w:left="105" w:leftChars="50" w:firstLine="544" w:firstLineChars="200"/>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293" w:line="360" w:lineRule="auto"/>
        <w:textAlignment w:val="baseline"/>
        <w:rPr>
          <w:rFonts w:hint="eastAsia" w:ascii="宋体" w:hAnsi="宋体" w:eastAsia="宋体" w:cs="宋体"/>
          <w:bCs/>
          <w:snapToGrid w:val="0"/>
          <w:color w:val="000000"/>
          <w:spacing w:val="-4"/>
          <w:sz w:val="28"/>
          <w:szCs w:val="28"/>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293" w:line="360"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keepNext w:val="0"/>
        <w:keepLines w:val="0"/>
        <w:pageBreakBefore w:val="0"/>
        <w:wordWrap/>
        <w:overflowPunct/>
        <w:topLinePunct w:val="0"/>
        <w:bidi w:val="0"/>
        <w:spacing w:before="91" w:line="360" w:lineRule="auto"/>
        <w:ind w:left="105" w:leftChars="50" w:firstLine="912" w:firstLineChars="200"/>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keepNext w:val="0"/>
        <w:keepLines w:val="0"/>
        <w:pageBreakBefore w:val="0"/>
        <w:wordWrap/>
        <w:overflowPunct/>
        <w:topLinePunct w:val="0"/>
        <w:bidi w:val="0"/>
        <w:spacing w:line="360" w:lineRule="auto"/>
        <w:jc w:val="both"/>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139"/>
        <w:gridCol w:w="980"/>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r>
              <w:rPr>
                <w:rFonts w:hint="eastAsia" w:ascii="仿宋_GB2312" w:hAnsi="宋体" w:eastAsia="仿宋_GB2312" w:cs="宋体"/>
                <w:kern w:val="0"/>
                <w:lang w:eastAsia="zh-CN"/>
              </w:rPr>
              <w:t>重大项目前期工作专项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汨罗市人民政府</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实施单位</w:t>
            </w:r>
          </w:p>
        </w:tc>
        <w:tc>
          <w:tcPr>
            <w:tcW w:w="3041" w:type="dxa"/>
            <w:gridSpan w:val="3"/>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汨罗市发展和改革局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54"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年初预算数</w:t>
            </w:r>
          </w:p>
        </w:tc>
        <w:tc>
          <w:tcPr>
            <w:tcW w:w="980" w:type="dxa"/>
            <w:vAlign w:val="center"/>
          </w:tcPr>
          <w:p>
            <w:pPr>
              <w:keepNext w:val="0"/>
              <w:keepLines w:val="0"/>
              <w:pageBreakBefore w:val="0"/>
              <w:wordWrap/>
              <w:overflowPunct/>
              <w:topLinePunct w:val="0"/>
              <w:bidi w:val="0"/>
              <w:spacing w:line="360" w:lineRule="auto"/>
              <w:jc w:val="both"/>
              <w:rPr>
                <w:rFonts w:ascii="仿宋_GB2312" w:hAnsi="宋体" w:eastAsia="仿宋_GB2312" w:cs="宋体"/>
                <w:kern w:val="0"/>
                <w:lang w:eastAsia="zh-CN"/>
              </w:rPr>
            </w:pPr>
            <w:r>
              <w:rPr>
                <w:rFonts w:hint="eastAsia" w:ascii="仿宋_GB2312" w:hAnsi="宋体" w:eastAsia="仿宋_GB2312" w:cs="宋体"/>
                <w:kern w:val="0"/>
                <w:lang w:eastAsia="zh-CN"/>
              </w:rPr>
              <w:t>全年预算数</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全年执行数</w:t>
            </w:r>
          </w:p>
        </w:tc>
        <w:tc>
          <w:tcPr>
            <w:tcW w:w="80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2277"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13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980"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09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2277" w:type="dxa"/>
            <w:gridSpan w:val="2"/>
            <w:vAlign w:val="center"/>
          </w:tcPr>
          <w:p>
            <w:pPr>
              <w:keepNext w:val="0"/>
              <w:keepLines w:val="0"/>
              <w:pageBreakBefore w:val="0"/>
              <w:wordWrap/>
              <w:overflowPunct/>
              <w:topLinePunct w:val="0"/>
              <w:bidi w:val="0"/>
              <w:spacing w:line="360" w:lineRule="auto"/>
              <w:ind w:firstLine="210" w:firstLineChars="100"/>
              <w:jc w:val="both"/>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13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980"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09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2277"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13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980"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109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80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84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2277" w:type="dxa"/>
            <w:gridSpan w:val="2"/>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r>
              <w:rPr>
                <w:rFonts w:hint="eastAsia" w:ascii="仿宋_GB2312" w:hAnsi="宋体" w:eastAsia="仿宋_GB2312" w:cs="宋体"/>
                <w:kern w:val="0"/>
              </w:rPr>
              <w:t>其他资金</w:t>
            </w:r>
          </w:p>
        </w:tc>
        <w:tc>
          <w:tcPr>
            <w:tcW w:w="113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980"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9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80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849"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4396" w:type="dxa"/>
            <w:gridSpan w:val="4"/>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r>
              <w:rPr>
                <w:rFonts w:hint="eastAsia" w:ascii="仿宋_GB2312" w:hAnsi="宋体" w:eastAsia="仿宋_GB2312" w:cs="宋体"/>
                <w:kern w:val="0"/>
              </w:rPr>
              <w:t>1、认真做好全市重大项目前期工作，扎实谋划、储备、推进一批投资大、效益好、带动能力强，对全市经济社会发展有重大影响的项目。2、积极争取上级资金，大力推进项目建设。持续推进“十四五”规划的落地生效，加强规划的定期评估和督导，确保汨罗经济社会发展稳中求进，达到预期目标。3、开展汨罗市保障性安居工程基础设施配套项目等全市重大项目开展前期工作和协调管理工作，建立完善调度机制，适时召开专题调度会，协调解决重大前期项目存在的主要矛盾和问题。</w:t>
            </w:r>
          </w:p>
        </w:tc>
        <w:tc>
          <w:tcPr>
            <w:tcW w:w="4140" w:type="dxa"/>
            <w:gridSpan w:val="4"/>
            <w:vAlign w:val="center"/>
          </w:tcPr>
          <w:p>
            <w:pPr>
              <w:keepNext w:val="0"/>
              <w:keepLines w:val="0"/>
              <w:pageBreakBefore w:val="0"/>
              <w:tabs>
                <w:tab w:val="left" w:pos="390"/>
              </w:tabs>
              <w:wordWrap/>
              <w:overflowPunct/>
              <w:topLinePunct w:val="0"/>
              <w:bidi w:val="0"/>
              <w:spacing w:line="360" w:lineRule="auto"/>
              <w:ind w:left="105" w:leftChars="50" w:firstLine="420" w:firstLineChars="200"/>
              <w:jc w:val="left"/>
              <w:rPr>
                <w:rFonts w:hint="eastAsia" w:ascii="仿宋_GB2312" w:hAnsi="宋体" w:eastAsia="仿宋_GB2312" w:cs="宋体"/>
                <w:kern w:val="0"/>
                <w:lang w:eastAsia="zh-CN"/>
              </w:rPr>
            </w:pPr>
            <w:r>
              <w:rPr>
                <w:rFonts w:hint="eastAsia" w:ascii="仿宋_GB2312" w:hAnsi="宋体" w:eastAsia="仿宋_GB2312" w:cs="宋体"/>
                <w:kern w:val="0"/>
                <w:lang w:eastAsia="zh-CN"/>
              </w:rPr>
              <w:tab/>
            </w:r>
            <w:r>
              <w:rPr>
                <w:rFonts w:hint="eastAsia" w:ascii="仿宋_GB2312" w:hAnsi="宋体" w:eastAsia="仿宋_GB2312" w:cs="宋体"/>
                <w:kern w:val="0"/>
                <w:lang w:eastAsia="zh-CN"/>
              </w:rPr>
              <w:t>争取中央预算内项目20个，到位资金14937万元；争取省预算内项目6个，到位资金1491.8万元；争取农村电网巩固提升工程资金6325万元；争取其他专项资金182.7万元。19个债券项目通过国家发改委、财政部的共同审核，共争取到位地方政府专项债项目9个、资金14.04亿元（配套园供水设施提质改造工程和循环园标厂四期发行两期）；超额完成年度任务。获批世行贷款额度5000万美元。谋划2023年中央预算内项目56个，专项债项目26个，入库中央预算内项目41个，专项债项目18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lang w:eastAsia="zh-CN"/>
              </w:rPr>
            </w:pPr>
          </w:p>
        </w:tc>
        <w:tc>
          <w:tcPr>
            <w:tcW w:w="1059"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产出指标</w:t>
            </w:r>
          </w:p>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重大项目投资计划编制完成率</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服务业“四上”申报企业数</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20家</w:t>
            </w:r>
          </w:p>
        </w:tc>
        <w:tc>
          <w:tcPr>
            <w:tcW w:w="109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22家</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各类专项规划编制科学，结合实际紧密，操作性强</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达标</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达标</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重要经济指标实现稳步增长</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109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项目实施时间、项目实施周期</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在规定时间内完成</w:t>
            </w:r>
          </w:p>
        </w:tc>
        <w:tc>
          <w:tcPr>
            <w:tcW w:w="109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rPr>
              <w:t>在规定时间内完成</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各项上级资金申请按时完成率。</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lang w:val="en-US" w:eastAsia="zh-CN"/>
              </w:rPr>
              <w:t>90</w:t>
            </w:r>
            <w:r>
              <w:rPr>
                <w:rFonts w:hint="eastAsia" w:ascii="仿宋_GB2312" w:hAnsi="宋体" w:eastAsia="仿宋_GB2312" w:cs="宋体"/>
                <w:kern w:val="0"/>
              </w:rPr>
              <w:t>%</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restart"/>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效益指标</w:t>
            </w:r>
          </w:p>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政府投资项目对固定资产投资拉动作用明显，分析研判经济运行情况准确，实体经济得到较快发展。</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80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围绕关系我市国民经济的重点领域、关键环节和重大问题，指导全市国民经济发展的战略蓝图和行动纲领，为实现我市现代化建设良好开局打下坚实基础。</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80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长江经济带生态优先绿色发展、洞庭湖生态环境整治工作推动有力</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bottom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促进带动经济的发展</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效益显著</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服务对象满意度</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≥90%</w:t>
            </w:r>
          </w:p>
        </w:tc>
        <w:tc>
          <w:tcPr>
            <w:tcW w:w="109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80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restart"/>
            <w:tcBorders>
              <w:top w:val="nil"/>
            </w:tcBorders>
            <w:vAlign w:val="center"/>
          </w:tcPr>
          <w:p>
            <w:pPr>
              <w:keepNext w:val="0"/>
              <w:keepLines w:val="0"/>
              <w:pageBreakBefore w:val="0"/>
              <w:wordWrap/>
              <w:overflowPunct/>
              <w:topLinePunct w:val="0"/>
              <w:bidi w:val="0"/>
              <w:spacing w:line="36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139" w:type="dxa"/>
            <w:vAlign w:val="center"/>
          </w:tcPr>
          <w:p>
            <w:pPr>
              <w:keepNext w:val="0"/>
              <w:keepLines w:val="0"/>
              <w:pageBreakBefore w:val="0"/>
              <w:wordWrap/>
              <w:overflowPunct/>
              <w:topLinePunct w:val="0"/>
              <w:bidi w:val="0"/>
              <w:spacing w:line="360" w:lineRule="auto"/>
              <w:jc w:val="both"/>
              <w:rPr>
                <w:rFonts w:ascii="仿宋_GB2312" w:hAnsi="宋体" w:eastAsia="仿宋_GB2312" w:cs="宋体"/>
                <w:kern w:val="0"/>
              </w:rPr>
            </w:pPr>
            <w:r>
              <w:rPr>
                <w:rFonts w:hint="eastAsia" w:ascii="仿宋_GB2312" w:hAnsi="宋体" w:eastAsia="仿宋_GB2312" w:cs="宋体"/>
                <w:kern w:val="0"/>
              </w:rPr>
              <w:t>各类重点项目前期工作经费使用规范</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rPr>
              <w:t>按进度使用</w:t>
            </w:r>
          </w:p>
        </w:tc>
        <w:tc>
          <w:tcPr>
            <w:tcW w:w="109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200万</w:t>
            </w:r>
          </w:p>
        </w:tc>
        <w:tc>
          <w:tcPr>
            <w:tcW w:w="80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tcBorders>
              <w:top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eastAsia="仿宋_GB2312"/>
                <w:kern w:val="0"/>
              </w:rPr>
              <w:t>对社会发展可能造成的负面影响</w:t>
            </w:r>
          </w:p>
        </w:tc>
        <w:tc>
          <w:tcPr>
            <w:tcW w:w="980"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lang w:val="en-US" w:eastAsia="zh-CN"/>
              </w:rPr>
              <w:t>无</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059" w:type="dxa"/>
            <w:vMerge w:val="continue"/>
            <w:tcBorders>
              <w:top w:val="nil"/>
            </w:tcBorders>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c>
          <w:tcPr>
            <w:tcW w:w="1218" w:type="dxa"/>
            <w:tcBorders>
              <w:top w:val="nil"/>
            </w:tcBorders>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13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eastAsia="仿宋_GB2312"/>
                <w:kern w:val="0"/>
              </w:rPr>
              <w:t>对自然生态环境造成的负面影响</w:t>
            </w:r>
          </w:p>
        </w:tc>
        <w:tc>
          <w:tcPr>
            <w:tcW w:w="980"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lang w:val="en-US" w:eastAsia="zh-CN"/>
              </w:rPr>
              <w:t>无</w:t>
            </w:r>
          </w:p>
        </w:tc>
        <w:tc>
          <w:tcPr>
            <w:tcW w:w="109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hint="eastAsia" w:ascii="仿宋_GB2312" w:hAnsi="宋体" w:eastAsia="仿宋_GB2312" w:cs="宋体"/>
                <w:kern w:val="0"/>
                <w:lang w:val="en-US" w:eastAsia="zh-CN"/>
              </w:rPr>
              <w:t>无</w:t>
            </w:r>
          </w:p>
        </w:tc>
        <w:tc>
          <w:tcPr>
            <w:tcW w:w="80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keepNext w:val="0"/>
              <w:keepLines w:val="0"/>
              <w:pageBreakBefore w:val="0"/>
              <w:wordWrap/>
              <w:overflowPunct/>
              <w:topLinePunct w:val="0"/>
              <w:bidi w:val="0"/>
              <w:spacing w:line="36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keepNext w:val="0"/>
              <w:keepLines w:val="0"/>
              <w:pageBreakBefore w:val="0"/>
              <w:wordWrap/>
              <w:overflowPunct/>
              <w:topLinePunct w:val="0"/>
              <w:bidi w:val="0"/>
              <w:spacing w:line="36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keepNext w:val="0"/>
              <w:keepLines w:val="0"/>
              <w:pageBreakBefore w:val="0"/>
              <w:wordWrap/>
              <w:overflowPunct/>
              <w:topLinePunct w:val="0"/>
              <w:bidi w:val="0"/>
              <w:spacing w:line="36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keepNext w:val="0"/>
              <w:keepLines w:val="0"/>
              <w:pageBreakBefore w:val="0"/>
              <w:wordWrap/>
              <w:overflowPunct/>
              <w:topLinePunct w:val="0"/>
              <w:bidi w:val="0"/>
              <w:spacing w:line="360" w:lineRule="auto"/>
              <w:ind w:left="105" w:leftChars="50" w:firstLine="420" w:firstLineChars="200"/>
              <w:jc w:val="center"/>
              <w:rPr>
                <w:rFonts w:ascii="仿宋_GB2312" w:hAnsi="宋体" w:eastAsia="仿宋_GB2312" w:cs="宋体"/>
                <w:kern w:val="0"/>
              </w:rPr>
            </w:pPr>
          </w:p>
        </w:tc>
      </w:tr>
    </w:tbl>
    <w:p>
      <w:pPr>
        <w:keepNext w:val="0"/>
        <w:keepLines w:val="0"/>
        <w:pageBreakBefore w:val="0"/>
        <w:wordWrap/>
        <w:overflowPunct/>
        <w:topLinePunct w:val="0"/>
        <w:bidi w:val="0"/>
        <w:spacing w:before="52" w:line="360" w:lineRule="auto"/>
        <w:ind w:left="105" w:leftChars="50" w:firstLine="420" w:firstLineChars="200"/>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keepNext w:val="0"/>
        <w:keepLines w:val="0"/>
        <w:pageBreakBefore w:val="0"/>
        <w:wordWrap/>
        <w:overflowPunct/>
        <w:topLinePunct w:val="0"/>
        <w:bidi w:val="0"/>
        <w:spacing w:line="360" w:lineRule="auto"/>
        <w:ind w:left="105" w:leftChars="50" w:firstLine="420" w:firstLineChars="200"/>
        <w:jc w:val="left"/>
        <w:rPr>
          <w:rFonts w:ascii="宋体" w:hAnsi="宋体" w:eastAsia="宋体" w:cs="宋体"/>
          <w:kern w:val="0"/>
          <w:lang w:eastAsia="zh-CN"/>
        </w:rPr>
      </w:pPr>
    </w:p>
    <w:p>
      <w:pPr>
        <w:keepNext w:val="0"/>
        <w:keepLines w:val="0"/>
        <w:pageBreakBefore w:val="0"/>
        <w:wordWrap/>
        <w:overflowPunct/>
        <w:topLinePunct w:val="0"/>
        <w:bidi w:val="0"/>
        <w:spacing w:line="360" w:lineRule="auto"/>
        <w:ind w:left="105" w:leftChars="50" w:firstLine="420" w:firstLineChars="200"/>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eepNext w:val="0"/>
        <w:keepLines w:val="0"/>
        <w:pageBreakBefore w:val="0"/>
        <w:wordWrap/>
        <w:overflowPunct/>
        <w:topLinePunct w:val="0"/>
        <w:bidi w:val="0"/>
        <w:spacing w:line="360" w:lineRule="auto"/>
        <w:ind w:left="105" w:leftChars="50" w:firstLine="544" w:firstLineChars="200"/>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keepNext w:val="0"/>
        <w:keepLines w:val="0"/>
        <w:pageBreakBefore w:val="0"/>
        <w:wordWrap/>
        <w:overflowPunct/>
        <w:topLinePunct w:val="0"/>
        <w:bidi w:val="0"/>
        <w:spacing w:line="360" w:lineRule="auto"/>
        <w:ind w:left="105" w:leftChars="50" w:firstLine="880" w:firstLineChars="200"/>
        <w:jc w:val="center"/>
        <w:rPr>
          <w:rFonts w:hint="eastAsia" w:ascii="方正小标宋简体" w:eastAsia="方正小标宋简体"/>
          <w:kern w:val="0"/>
          <w:sz w:val="44"/>
          <w:szCs w:val="44"/>
          <w:lang w:eastAsia="zh-CN"/>
        </w:rPr>
      </w:pPr>
    </w:p>
    <w:p>
      <w:pPr>
        <w:keepNext w:val="0"/>
        <w:keepLines w:val="0"/>
        <w:pageBreakBefore w:val="0"/>
        <w:wordWrap/>
        <w:overflowPunct/>
        <w:topLinePunct w:val="0"/>
        <w:bidi w:val="0"/>
        <w:spacing w:line="360" w:lineRule="auto"/>
        <w:ind w:left="105" w:leftChars="50" w:firstLine="880" w:firstLineChars="200"/>
        <w:jc w:val="center"/>
        <w:rPr>
          <w:rFonts w:hint="eastAsia" w:ascii="方正小标宋简体" w:eastAsia="方正小标宋简体"/>
          <w:kern w:val="0"/>
          <w:sz w:val="44"/>
          <w:szCs w:val="44"/>
          <w:lang w:eastAsia="zh-CN"/>
        </w:rPr>
      </w:pPr>
    </w:p>
    <w:p>
      <w:pPr>
        <w:keepNext w:val="0"/>
        <w:keepLines w:val="0"/>
        <w:pageBreakBefore w:val="0"/>
        <w:wordWrap/>
        <w:overflowPunct/>
        <w:topLinePunct w:val="0"/>
        <w:bidi w:val="0"/>
        <w:spacing w:line="360" w:lineRule="auto"/>
        <w:ind w:left="105" w:leftChars="50" w:firstLine="880" w:firstLineChars="200"/>
        <w:jc w:val="center"/>
        <w:rPr>
          <w:rFonts w:hint="eastAsia" w:ascii="方正小标宋简体" w:eastAsia="方正小标宋简体"/>
          <w:kern w:val="0"/>
          <w:sz w:val="44"/>
          <w:szCs w:val="44"/>
          <w:lang w:val="en-US"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汨罗市发展和改革局</w:t>
      </w:r>
    </w:p>
    <w:p>
      <w:pPr>
        <w:keepNext w:val="0"/>
        <w:keepLines w:val="0"/>
        <w:pageBreakBefore w:val="0"/>
        <w:wordWrap/>
        <w:overflowPunct/>
        <w:topLinePunct w:val="0"/>
        <w:bidi w:val="0"/>
        <w:spacing w:line="360" w:lineRule="auto"/>
        <w:ind w:left="105" w:leftChars="50" w:firstLine="880" w:firstLineChars="20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部门整体支出绩效自评报告</w:t>
      </w: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jc w:val="both"/>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val="0"/>
        <w:wordWrap/>
        <w:overflowPunct/>
        <w:topLinePunct w:val="0"/>
        <w:autoSpaceDE w:val="0"/>
        <w:autoSpaceDN w:val="0"/>
        <w:bidi w:val="0"/>
        <w:adjustRightInd w:val="0"/>
        <w:snapToGrid w:val="0"/>
        <w:spacing w:before="78" w:line="360" w:lineRule="auto"/>
        <w:ind w:left="105" w:leftChars="50" w:firstLine="531" w:firstLineChars="200"/>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keepNext w:val="0"/>
        <w:keepLines w:val="0"/>
        <w:pageBreakBefore w:val="0"/>
        <w:wordWrap/>
        <w:overflowPunct/>
        <w:topLinePunct w:val="0"/>
        <w:bidi w:val="0"/>
        <w:spacing w:before="274" w:line="360" w:lineRule="auto"/>
        <w:ind w:left="105" w:leftChars="50" w:firstLine="591" w:firstLineChars="200"/>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年</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spacing w:val="-13"/>
          <w:kern w:val="0"/>
          <w:sz w:val="32"/>
          <w:szCs w:val="32"/>
          <w:lang w:eastAsia="zh-CN"/>
        </w:rPr>
        <w:t>月</w:t>
      </w:r>
      <w:r>
        <w:rPr>
          <w:rFonts w:hint="eastAsia" w:ascii="楷体_GB2312" w:hAnsi="楷体" w:eastAsia="楷体_GB2312" w:cs="楷体"/>
          <w:spacing w:val="-13"/>
          <w:kern w:val="0"/>
          <w:sz w:val="32"/>
          <w:szCs w:val="32"/>
          <w:lang w:val="en-US" w:eastAsia="zh-CN"/>
        </w:rPr>
        <w:t>30</w:t>
      </w:r>
      <w:r>
        <w:rPr>
          <w:rFonts w:hint="eastAsia" w:ascii="楷体_GB2312" w:hAnsi="楷体" w:eastAsia="楷体_GB2312" w:cs="楷体"/>
          <w:b/>
          <w:bCs/>
          <w:spacing w:val="-13"/>
          <w:kern w:val="0"/>
          <w:sz w:val="32"/>
          <w:szCs w:val="32"/>
          <w:lang w:eastAsia="zh-CN"/>
        </w:rPr>
        <w:t>日</w:t>
      </w:r>
      <w:bookmarkStart w:id="0" w:name="_GoBack"/>
      <w:bookmarkEnd w:id="0"/>
    </w:p>
    <w:p>
      <w:pPr>
        <w:keepNext w:val="0"/>
        <w:keepLines w:val="0"/>
        <w:pageBreakBefore w:val="0"/>
        <w:kinsoku w:val="0"/>
        <w:wordWrap/>
        <w:overflowPunct/>
        <w:topLinePunct w:val="0"/>
        <w:autoSpaceDE w:val="0"/>
        <w:autoSpaceDN w:val="0"/>
        <w:bidi w:val="0"/>
        <w:adjustRightInd w:val="0"/>
        <w:snapToGrid w:val="0"/>
        <w:spacing w:before="211" w:line="360" w:lineRule="auto"/>
        <w:ind w:left="105" w:leftChars="50" w:firstLine="674" w:firstLineChars="200"/>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eepNext w:val="0"/>
        <w:keepLines w:val="0"/>
        <w:pageBreakBefore w:val="0"/>
        <w:wordWrap/>
        <w:overflowPunct/>
        <w:topLinePunct w:val="0"/>
        <w:bidi w:val="0"/>
        <w:spacing w:before="130" w:line="360" w:lineRule="auto"/>
        <w:ind w:left="105" w:leftChars="50" w:firstLine="864" w:firstLineChars="200"/>
        <w:jc w:val="center"/>
        <w:rPr>
          <w:rFonts w:ascii="黑体" w:hAnsi="黑体" w:eastAsia="黑体" w:cs="黑体"/>
          <w:spacing w:val="16"/>
          <w:sz w:val="40"/>
          <w:szCs w:val="40"/>
        </w:rPr>
      </w:pPr>
    </w:p>
    <w:p>
      <w:pPr>
        <w:keepNext w:val="0"/>
        <w:keepLines w:val="0"/>
        <w:pageBreakBefore w:val="0"/>
        <w:wordWrap/>
        <w:overflowPunct/>
        <w:topLinePunct w:val="0"/>
        <w:bidi w:val="0"/>
        <w:spacing w:before="130" w:line="360" w:lineRule="auto"/>
        <w:ind w:left="105" w:leftChars="50" w:firstLine="864" w:firstLineChars="200"/>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黑体" w:hAnsi="黑体" w:eastAsia="黑体" w:cs="黑体"/>
          <w:spacing w:val="16"/>
          <w:sz w:val="40"/>
          <w:szCs w:val="40"/>
          <w:lang w:val="en-US" w:eastAsia="zh-CN"/>
        </w:rPr>
        <w:t>汨罗市发展和改革局</w:t>
      </w:r>
      <w:r>
        <w:rPr>
          <w:rFonts w:ascii="黑体" w:hAnsi="黑体" w:eastAsia="黑体" w:cs="黑体"/>
          <w:spacing w:val="16"/>
          <w:sz w:val="40"/>
          <w:szCs w:val="40"/>
        </w:rPr>
        <w:t>部门</w:t>
      </w:r>
    </w:p>
    <w:p>
      <w:pPr>
        <w:keepNext w:val="0"/>
        <w:keepLines w:val="0"/>
        <w:pageBreakBefore w:val="0"/>
        <w:wordWrap/>
        <w:overflowPunct/>
        <w:topLinePunct w:val="0"/>
        <w:bidi w:val="0"/>
        <w:spacing w:before="130" w:line="360" w:lineRule="auto"/>
        <w:ind w:left="105" w:leftChars="50" w:firstLine="864" w:firstLineChars="200"/>
        <w:jc w:val="center"/>
        <w:rPr>
          <w:rFonts w:ascii="仿宋" w:hAnsi="仿宋" w:eastAsia="仿宋" w:cs="仿宋"/>
          <w:b/>
          <w:bCs/>
          <w:snapToGrid w:val="0"/>
          <w:color w:val="000000"/>
          <w:spacing w:val="18"/>
          <w:sz w:val="30"/>
          <w:szCs w:val="30"/>
          <w:lang w:val="en-US" w:eastAsia="zh-CN" w:bidi="ar-SA"/>
        </w:rPr>
      </w:pPr>
      <w:r>
        <w:rPr>
          <w:rFonts w:ascii="黑体" w:hAnsi="黑体" w:eastAsia="黑体" w:cs="黑体"/>
          <w:spacing w:val="16"/>
          <w:sz w:val="40"/>
          <w:szCs w:val="40"/>
        </w:rPr>
        <w:t>整体支出绩效自评报告</w:t>
      </w:r>
    </w:p>
    <w:p>
      <w:pPr>
        <w:keepNext w:val="0"/>
        <w:keepLines w:val="0"/>
        <w:pageBreakBefore w:val="0"/>
        <w:numPr>
          <w:ilvl w:val="0"/>
          <w:numId w:val="1"/>
        </w:numPr>
        <w:kinsoku w:val="0"/>
        <w:wordWrap/>
        <w:overflowPunct/>
        <w:topLinePunct w:val="0"/>
        <w:autoSpaceDE w:val="0"/>
        <w:autoSpaceDN w:val="0"/>
        <w:bidi w:val="0"/>
        <w:adjustRightInd w:val="0"/>
        <w:snapToGrid w:val="0"/>
        <w:spacing w:before="211" w:line="360" w:lineRule="auto"/>
        <w:ind w:left="105" w:leftChars="50"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numPr>
          <w:ilvl w:val="0"/>
          <w:numId w:val="0"/>
        </w:numPr>
        <w:kinsoku w:val="0"/>
        <w:wordWrap/>
        <w:overflowPunct/>
        <w:topLinePunct w:val="0"/>
        <w:autoSpaceDE w:val="0"/>
        <w:autoSpaceDN w:val="0"/>
        <w:bidi w:val="0"/>
        <w:adjustRightInd w:val="0"/>
        <w:snapToGrid w:val="0"/>
        <w:spacing w:before="211" w:line="360" w:lineRule="auto"/>
        <w:ind w:left="105" w:leftChars="50"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（一）部门（单位）基本情况：</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kern w:val="0"/>
          <w:sz w:val="32"/>
          <w:szCs w:val="32"/>
          <w:lang w:val="en-US" w:eastAsia="zh-CN"/>
        </w:rPr>
      </w:pPr>
      <w:r>
        <w:rPr>
          <w:rFonts w:hint="eastAsia" w:eastAsia="仿宋_GB2312"/>
          <w:kern w:val="0"/>
          <w:sz w:val="32"/>
          <w:szCs w:val="32"/>
          <w:lang w:val="en-US" w:eastAsia="zh-CN"/>
        </w:rPr>
        <w:t>汨罗市发展和改革局内设机构包括：办公室（财务室、人事股），综合规划改革股，固定资产投资股（评估督导股），农村经济股（汨罗市对口支援办公室，以工代赈办公室），工交资环两型股（长江经济带和洞庭湖发展办公室)，社会发展股（财贸服务和信用建设股，汨罗市社会信息体系建设工作领导小组办公室），价格管理股（汨罗市价格成本调查队），行政审批股（汨罗市招投标管理办公室，法规股），能源股和四个非独立核算二级机构汨罗市节能信息中心、汨罗市价格认证鉴定中心、汨罗市建设项目事务中心和汨罗市发展和改革事务中心。</w:t>
      </w: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val="en-US" w:eastAsia="zh-CN"/>
        </w:rPr>
      </w:pPr>
      <w:r>
        <w:rPr>
          <w:rFonts w:hint="eastAsia" w:ascii="仿宋" w:hAnsi="仿宋" w:eastAsia="仿宋" w:cs="仿宋"/>
          <w:kern w:val="0"/>
          <w:sz w:val="32"/>
          <w:szCs w:val="32"/>
          <w:lang w:val="en-US" w:eastAsia="zh-CN"/>
        </w:rPr>
        <w:t>汨罗市发展和改革局2022年</w:t>
      </w:r>
      <w:r>
        <w:rPr>
          <w:rFonts w:hint="eastAsia" w:eastAsia="仿宋_GB2312"/>
          <w:kern w:val="0"/>
          <w:sz w:val="32"/>
          <w:szCs w:val="32"/>
          <w:lang w:val="en-US" w:eastAsia="zh-CN"/>
        </w:rPr>
        <w:t>单位构成包括：汨罗市发展和改革局本级以及汨罗市节能信息中心、汨罗市价格认证鉴定中心、汨罗市建设项目事务中心和汨罗市发展和改革事务中心四个非独立核算二级机构。</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kern w:val="0"/>
          <w:sz w:val="32"/>
          <w:szCs w:val="32"/>
          <w:lang w:val="en-US" w:eastAsia="zh-CN"/>
        </w:rPr>
      </w:pPr>
      <w:r>
        <w:rPr>
          <w:rFonts w:hint="eastAsia" w:eastAsia="仿宋_GB2312"/>
          <w:kern w:val="0"/>
          <w:sz w:val="32"/>
          <w:szCs w:val="32"/>
          <w:lang w:val="en-US" w:eastAsia="zh-CN"/>
        </w:rPr>
        <w:t>（二）部门整体支出规模、使用方向和主要内容、涉及范围等：</w:t>
      </w:r>
      <w:r>
        <w:rPr>
          <w:rFonts w:hint="eastAsia" w:ascii="仿宋" w:hAnsi="仿宋" w:eastAsia="仿宋" w:cs="仿宋"/>
          <w:kern w:val="0"/>
          <w:sz w:val="32"/>
          <w:szCs w:val="32"/>
          <w:lang w:val="en-US" w:eastAsia="zh-CN"/>
        </w:rPr>
        <w:t>2022年度收、支总计9617.96万元。与上年相比，增加5763.7万元，增长149.54%，主要是因为专项资金增加。</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2022年度收入合计9617.96万元，其中：财政拨款收入9617.96万元，占100%；上级补助收入0万元，占0%；事业收入0万元，占0%；经营收入0万元，占0%；附属单位上缴收入0万元，占0%；其他收入0万元，占0%。</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2022年度支出合计9617.96万元，其中：基本支出710.12万元，占7.38%；项目支出8907.84万元，占92.62%；上缴上级支出0万元，占0%；经营支出0万元，占0%；对附属单位补助支出0万元，占0%。</w:t>
      </w:r>
    </w:p>
    <w:p>
      <w:pPr>
        <w:keepNext w:val="0"/>
        <w:keepLines w:val="0"/>
        <w:pageBreakBefore w:val="0"/>
        <w:wordWrap/>
        <w:overflowPunct/>
        <w:topLinePunct w:val="0"/>
        <w:bidi w:val="0"/>
        <w:spacing w:line="360" w:lineRule="auto"/>
        <w:ind w:left="105" w:leftChars="50"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keepNext w:val="0"/>
        <w:keepLines w:val="0"/>
        <w:pageBreakBefore w:val="0"/>
        <w:wordWrap/>
        <w:overflowPunct/>
        <w:topLinePunct w:val="0"/>
        <w:bidi w:val="0"/>
        <w:spacing w:line="360" w:lineRule="auto"/>
        <w:ind w:left="105" w:leftChars="50" w:firstLine="643" w:firstLineChars="200"/>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0"/>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kern w:val="0"/>
          <w:sz w:val="32"/>
          <w:szCs w:val="32"/>
          <w:lang w:eastAsia="zh-CN"/>
        </w:rPr>
      </w:pPr>
      <w:r>
        <w:rPr>
          <w:rFonts w:hint="eastAsia" w:ascii="仿宋" w:hAnsi="仿宋" w:eastAsia="仿宋" w:cs="仿宋"/>
          <w:snapToGrid w:val="0"/>
          <w:color w:val="000000"/>
          <w:kern w:val="0"/>
          <w:sz w:val="32"/>
          <w:szCs w:val="32"/>
          <w:lang w:val="en-US" w:eastAsia="zh-CN" w:bidi="ar-SA"/>
        </w:rPr>
        <w:t>2022年度财政拨款基本支出710.12万元，其中：人员经费588.87万元，占基本支出的82.92%,主要包括基本工资、津贴补贴、奖金、伙食补助、机关事业单位基本养老保险缴费、职工基本医疗保险缴费、公务员医疗补助缴费、其他社会保障缴费、住房公积金、其他工资福利支出等；公用经费121.25万元，占基本支出的17.08%，主要包括办公费</w:t>
      </w:r>
      <w:r>
        <w:rPr>
          <w:rFonts w:hint="eastAsia" w:ascii="Times New Roman" w:hAnsi="Times New Roman" w:eastAsia="仿宋_GB2312"/>
          <w:kern w:val="0"/>
          <w:sz w:val="32"/>
          <w:szCs w:val="32"/>
          <w:lang w:eastAsia="zh-CN"/>
        </w:rPr>
        <w:t>、印刷费、水电费、邮电费、物业管理费、差旅费、维修（护）费、租赁费、会议费、培训费、公务接待费、专用材料费、工会经费、和其他交通费。</w:t>
      </w:r>
    </w:p>
    <w:p>
      <w:pPr>
        <w:pStyle w:val="10"/>
        <w:keepNext w:val="0"/>
        <w:keepLines w:val="0"/>
        <w:pageBreakBefore w:val="0"/>
        <w:numPr>
          <w:ilvl w:val="0"/>
          <w:numId w:val="2"/>
        </w:numPr>
        <w:wordWrap/>
        <w:overflowPunct/>
        <w:topLinePunct w:val="0"/>
        <w:bidi w:val="0"/>
        <w:spacing w:line="360" w:lineRule="auto"/>
        <w:ind w:left="105" w:leftChars="50"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pPr>
        <w:pStyle w:val="10"/>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1、专项资金实际使用情况分析：根据实际工作情况，汨罗市发展和改革局2022年度财政拨款项目支出总计8907.84万元，其中一般公共服务支出5111.94万元，节能环保支出2500.5万元，农林水支出158.2万元，资源勘探工业信息等支出691万元，住房保障支出426.2万元，商业服务业支出20万元。其中本级专项两个，重点项目建设事务中心专项6万，重大项目前期工作专项200万。超30万重点项目绩效自评另附报告。</w:t>
      </w:r>
    </w:p>
    <w:p>
      <w:pPr>
        <w:pStyle w:val="10"/>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kern w:val="0"/>
          <w:sz w:val="32"/>
          <w:szCs w:val="32"/>
          <w:lang w:eastAsia="zh-CN"/>
        </w:rPr>
      </w:pPr>
      <w:r>
        <w:rPr>
          <w:rFonts w:hint="eastAsia" w:ascii="仿宋" w:hAnsi="仿宋" w:eastAsia="仿宋" w:cs="仿宋"/>
          <w:snapToGrid w:val="0"/>
          <w:color w:val="000000"/>
          <w:kern w:val="0"/>
          <w:sz w:val="32"/>
          <w:szCs w:val="32"/>
          <w:lang w:val="en-US" w:eastAsia="zh-CN" w:bidi="ar-SA"/>
        </w:rPr>
        <w:t>2、专项资金管理情况分析：专项资金本着</w:t>
      </w:r>
      <w:r>
        <w:rPr>
          <w:rFonts w:hint="eastAsia" w:ascii="Times New Roman" w:hAnsi="Times New Roman" w:eastAsia="仿宋_GB2312"/>
          <w:kern w:val="0"/>
          <w:sz w:val="32"/>
          <w:szCs w:val="32"/>
          <w:lang w:eastAsia="zh-CN"/>
        </w:rPr>
        <w:t>专款专用原则，严格执行项目资金批准的使用计划和项目批复内容，不擅自调项、扩项、缩项、不拆借、挪用、挤占，对每笔专项资金的支付，严格执行财务制度，落实专项资金审核程序。</w:t>
      </w:r>
    </w:p>
    <w:p>
      <w:pPr>
        <w:keepNext w:val="0"/>
        <w:keepLines w:val="0"/>
        <w:pageBreakBefore w:val="0"/>
        <w:wordWrap/>
        <w:overflowPunct/>
        <w:topLinePunct w:val="0"/>
        <w:bidi w:val="0"/>
        <w:spacing w:line="360" w:lineRule="auto"/>
        <w:ind w:left="105" w:leftChars="5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keepNext w:val="0"/>
        <w:keepLines w:val="0"/>
        <w:pageBreakBefore w:val="0"/>
        <w:wordWrap/>
        <w:overflowPunct/>
        <w:topLinePunct w:val="0"/>
        <w:bidi w:val="0"/>
        <w:spacing w:line="360" w:lineRule="auto"/>
        <w:ind w:left="105" w:leftChars="50" w:firstLine="640" w:firstLineChars="200"/>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无</w:t>
      </w:r>
    </w:p>
    <w:p>
      <w:pPr>
        <w:keepNext w:val="0"/>
        <w:keepLines w:val="0"/>
        <w:pageBreakBefore w:val="0"/>
        <w:numPr>
          <w:ilvl w:val="0"/>
          <w:numId w:val="3"/>
        </w:numPr>
        <w:wordWrap/>
        <w:overflowPunct/>
        <w:topLinePunct w:val="0"/>
        <w:bidi w:val="0"/>
        <w:spacing w:line="360" w:lineRule="auto"/>
        <w:ind w:left="105" w:leftChars="5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keepNext w:val="0"/>
        <w:keepLines w:val="0"/>
        <w:pageBreakBefore w:val="0"/>
        <w:numPr>
          <w:ilvl w:val="0"/>
          <w:numId w:val="0"/>
        </w:numPr>
        <w:wordWrap/>
        <w:overflowPunct/>
        <w:topLinePunct w:val="0"/>
        <w:bidi w:val="0"/>
        <w:spacing w:line="360" w:lineRule="auto"/>
        <w:ind w:left="105" w:leftChars="50" w:firstLine="640" w:firstLineChars="200"/>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无</w:t>
      </w:r>
    </w:p>
    <w:p>
      <w:pPr>
        <w:keepNext w:val="0"/>
        <w:keepLines w:val="0"/>
        <w:pageBreakBefore w:val="0"/>
        <w:numPr>
          <w:ilvl w:val="0"/>
          <w:numId w:val="3"/>
        </w:numPr>
        <w:wordWrap/>
        <w:overflowPunct/>
        <w:topLinePunct w:val="0"/>
        <w:bidi w:val="0"/>
        <w:spacing w:line="360" w:lineRule="auto"/>
        <w:ind w:left="105" w:leftChars="5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keepNext w:val="0"/>
        <w:keepLines w:val="0"/>
        <w:pageBreakBefore w:val="0"/>
        <w:numPr>
          <w:ilvl w:val="0"/>
          <w:numId w:val="0"/>
        </w:numPr>
        <w:wordWrap/>
        <w:overflowPunct/>
        <w:topLinePunct w:val="0"/>
        <w:bidi w:val="0"/>
        <w:spacing w:line="360" w:lineRule="auto"/>
        <w:ind w:left="105" w:leftChars="50" w:firstLine="640" w:firstLineChars="200"/>
        <w:jc w:val="both"/>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无</w:t>
      </w:r>
    </w:p>
    <w:p>
      <w:pPr>
        <w:keepNext w:val="0"/>
        <w:keepLines w:val="0"/>
        <w:pageBreakBefore w:val="0"/>
        <w:wordWrap/>
        <w:overflowPunct/>
        <w:topLinePunct w:val="0"/>
        <w:bidi w:val="0"/>
        <w:spacing w:line="360" w:lineRule="auto"/>
        <w:ind w:left="105" w:leftChars="50"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（一）提高站位，政治建</w:t>
      </w:r>
      <w:r>
        <w:rPr>
          <w:rFonts w:hint="eastAsia" w:ascii="仿宋" w:hAnsi="仿宋" w:eastAsia="仿宋" w:cs="仿宋"/>
          <w:snapToGrid w:val="0"/>
          <w:color w:val="000000"/>
          <w:kern w:val="0"/>
          <w:sz w:val="32"/>
          <w:szCs w:val="32"/>
          <w:lang w:val="en-US" w:eastAsia="zh-CN" w:bidi="ar-SA"/>
        </w:rPr>
        <w:t>设坚强有力。一是持续加强理论学习。全年开展党组理论学习中心组学习13次，把习近平新时代中国特色社会主义思想，党的十九届五中、六</w:t>
      </w:r>
      <w:r>
        <w:rPr>
          <w:rFonts w:hint="eastAsia" w:ascii="Times New Roman" w:hAnsi="Times New Roman" w:eastAsia="仿宋_GB2312" w:cs="Arial"/>
          <w:snapToGrid w:val="0"/>
          <w:color w:val="000000"/>
          <w:kern w:val="0"/>
          <w:sz w:val="32"/>
          <w:szCs w:val="32"/>
          <w:lang w:val="en-US" w:eastAsia="zh-CN" w:bidi="ar-SA"/>
        </w:rPr>
        <w:t>中全会和二十大精神，习近平总书记来湘考察重要讲话精神作为学习重点，推动学习教育常态化、长效化。二是持续加强组织建设。认真学习贯彻《党组工作条例》和《支部工作条例》，将党总支和两个党支部摆在更加突出的位置，严格落实民主集中制、请示报告等工作制度。三是扎实开展“四亮”主题活动。以开展“四亮”主题活动为抓手，党员先锋模范作用得到进一步发挥。“四亮”活动开展以来，我局围绕巴陵先锋十项行动、助力乡村振兴、疫情防控等开展各项工作，局党组成员带头参加活动、带头公开承诺、带头落实党员责任，形成了以上率下、层层跟进的示范作用。</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二）多管齐下，意识形态工作深入人心。将意识形态工作列入党组重要议事日程，认真组织学习习近平关于意识形态工作的论述，多次召开党组会对意识形态工作进行研究部署，分析研判意识形态领域情况，认真落实意识形态第一责任人制度，对重大事件、重要情况、重要社情民意中的苗头性问题，有针对性地引导并积极妥善解决。进一步规范新闻宣传工作，加强对</w:t>
      </w:r>
      <w:r>
        <w:rPr>
          <w:rFonts w:hint="eastAsia" w:ascii="仿宋" w:hAnsi="仿宋" w:eastAsia="仿宋" w:cs="仿宋"/>
          <w:snapToGrid w:val="0"/>
          <w:color w:val="000000"/>
          <w:kern w:val="0"/>
          <w:sz w:val="32"/>
          <w:szCs w:val="32"/>
          <w:lang w:val="en-US" w:eastAsia="zh-CN" w:bidi="ar-SA"/>
        </w:rPr>
        <w:t>“汨罗发改”微信公众号的信息发布的管理力度，主动公开政府信息，依法处理政府信息公开申请，加强值班值守、办理好市长信箱、12345热线交办件和领导批示件，认真解决群众来信来访问题，坚持依法行政</w:t>
      </w:r>
      <w:r>
        <w:rPr>
          <w:rFonts w:hint="eastAsia" w:ascii="Times New Roman" w:hAnsi="Times New Roman" w:eastAsia="仿宋_GB2312" w:cs="Arial"/>
          <w:snapToGrid w:val="0"/>
          <w:color w:val="000000"/>
          <w:kern w:val="0"/>
          <w:sz w:val="32"/>
          <w:szCs w:val="32"/>
          <w:lang w:val="en-US" w:eastAsia="zh-CN" w:bidi="ar-SA"/>
        </w:rPr>
        <w:t>，切实提升工作执行力。</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三）措施有力，党风廉政建设强势推动。严格落实“三重一大”集体决策，坚持把日常监督摆在突出位置，严格执行中央八项规定，制定《汨罗市发展和改革局2022年党风廉政建设工作实施方案》。严格执行中央八项规定，全面开展廉政风险排查。及时传达学习市纪委全会精神和典型案例通报，组织党组书记讲廉政党课和警示教育等活动，开展违规收受红包礼金、打牌赌博和违规吃喝等专项整治行动，将党风廉政建设与发改工作紧密结合，抓好党风廉政建设，锻造清廉干部队伍，筑牢拒腐防变思想防线。牵头开展超概算政府投资工程项目专项清查和招标代理机构行业秩序整顿，参与“洞庭清波”专项整治行动。年初修订了《机关事务管理若干规定》并组织全体干部职工学习，坚持以制度管事，以制度管人，确保机关管理进一步科学化、规范化。</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（四）科学调度，经济平稳健康运行。科学制定年度经济</w:t>
      </w:r>
      <w:r>
        <w:rPr>
          <w:rFonts w:hint="eastAsia" w:ascii="仿宋" w:hAnsi="仿宋" w:eastAsia="仿宋" w:cs="仿宋"/>
          <w:snapToGrid w:val="0"/>
          <w:color w:val="000000"/>
          <w:kern w:val="0"/>
          <w:sz w:val="32"/>
          <w:szCs w:val="32"/>
          <w:lang w:val="en-US" w:eastAsia="zh-CN" w:bidi="ar-SA"/>
        </w:rPr>
        <w:t>社会发展目标，加强部门联动协作，实施精准宏观调控和微观管理，抓好经济运行监测分析调度，主要经济指标名列前茅。1-9月，全市完成地区生产总值316.73亿元，同比增长5.6%；总量排名6县市第一，增速排名6县市第二（按季度公布）。1-11月，完成固定资产投资292.29亿元，同比增长14.53%，预计排名6县市第一。服务业入规净增入户22户，增加值为242.2亿元，同比增长8.1%。</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五）统筹协调，项目推进有力有效。一是产业项目建设势头良好。2022年全市新入库5000万以上重大项目61个；园区新签约项目共84个，10亿元以上项目6个，5亿元以上项目8个，亿元以上项目29个，合同引资250.58亿元。新开工项目70个，总投资133.66亿元，累计完成投资50.21亿元；续建项目55个，总投资346.88亿元，累计完成投资51.98亿元；竣工投产项目50个，累计完成投资29.72亿元。二是省、市重点项目推进有力。4个项目纳入省重点工程，2022年计划投资45亿元，1-11月份共完成投资55.1亿元，完成年度计划的132.4%。15个项目列入岳阳市“双百工程”重大建设项目，2022年计划投资31.61亿元，11月份共完成投资38.5亿元，完成年度计划的121.7%。9个项目列入岳阳市“双百工程”重大前期项目，截至目前，9个项目均已实现年度任务目标，其中9个项目均已开工建设。三是重大工程进展有序。玉池抽水蓄能项目已成功通过可行性研究报告审查，12月底项目核准，可望年内开工建设。汨罗火电项目已启动预可行性研究报告编制。屋顶分布式光伏开发全国试点项目在省内率先开工，中核、华能2个项目成功并网发电，截至目前发电量已突破400万千瓦时。A2通用机场建设项目已经完成选址服务、航行服务两个报告，并于8月份通过军方选址审批等前期工作。长岭－长沙黄花国际机场航煤管道项目已完成管道铺设、水保修复、土地平整和农田复原。</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六）多措并举，争项争资持续发力。截至目前，我局2022年共争取中央预算内项目20个，到位资金14937万元；争取省预算内项目6个，到位资金1491.8万元；争取农村电网巩固提升工程资金6325万元；争取其他专项资金182.7万元。19个债券项目通过国家发改委、财政部的共同审核，共争取到位地方政府专项债项目9个、资金14.04亿元（配套园供水设施提质改造工程和循环园标厂四期发行两期）；超额完成年度任务。获批世行贷款额度5000万美元。谋划2023年中央预算内项目56个，专项债项目26个，入库中央预算内项目41个，专项债项目18个。</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七）突出重点，保障和改善民生。一是全力提供优质政务服务。全面推行工程建设项目区域评估工作，推进行政审批中介服务标准化建设，完善政府投资项目审批及概算管理体制，进一步优化审批流程，提升审批效率。今年以来，在平台共办结项目立项482件，其中审批类119件，核准类18件，备案类345件。全部实行线上办理，按时办结率为100％。二是全力做好价格管理。做好农产品调查和成本监审工作，履行公共服务职能，依法开展价格认证工作，今年以来，共办结涉案物价格认定101起，认定价值469余万元。制定春秋两季教育收费文件，并开展两季教育收费专项督查。严格落实取消水电气暖行业不合理收费政策，全市清退水电气行业不合理收费30多万元。完成新市自来水公司调价听证定价程序，根据岳阳市发改委授权完成屈子文化园门票价格听证会。对汨罗市港华燃气的配气价格等7项工作进行成本监审，核减了不合理成本约5000万元，核增合理成本约为300万元，为市人民政府定调价提供了详实的参考依据。</w:t>
      </w: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八）合理安排，中心任务圆满完成。一是持续推进乡村振兴。对全市易地搬迁住房和集中安置点帮扶车消防安全和住房安全进行集中排查整改，共排查问题86个，并坚持边排查边反馈边整改，督促安置区所在镇人民政府及施工方对能立即整改的，立行立改。二是抓好“三资”清理。成立园区国有资产资源清查工作领导小组，设立工作专班，建立了市直单位、园区联动工作机制。三是守住安全生产底线。全年邀请市消防大队开展消防安全讲座和演练两次。现场组织和指导西气东输等管道企业高后果区天然气泄漏疏散安全演练，加强对发生突发事故的应急处置能力，全年对油气管道和电力安全隐患处置40余起。对非煤矿山和市内的电力重点用户开展用电安全检查；开展打击挂钩用电和用电安全宣传；配合水利部门和国资中心，对下属的小型发电站和集贸市场、老旧小区、中心市场进行用电安全检查，制定迎峰度夏有序用电方案和迎峰度冬负荷管控方案。四是统筹推进政府交办工作。完成“两随机一公开”日常工作；推进信用体系建设，建成了信用汨罗数据库、信用汨罗门户网站、信用汨罗共享交换平台。完成好汨罗市公务用车制度改革领导小组办公室的日常审批工作。</w:t>
      </w:r>
    </w:p>
    <w:p>
      <w:pPr>
        <w:keepNext w:val="0"/>
        <w:keepLines w:val="0"/>
        <w:pageBreakBefore w:val="0"/>
        <w:wordWrap/>
        <w:overflowPunct/>
        <w:topLinePunct w:val="0"/>
        <w:bidi w:val="0"/>
        <w:spacing w:line="360" w:lineRule="auto"/>
        <w:ind w:left="105" w:leftChars="50"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一）争资争项难度加大。中央预算内资金总盘子虽保持基本持平，但其主要投向转移到“三重一大”、核心技术研发、重大科技创新等，能够支持县一级的专项和资金越来越少。加上国家政策收紧，项目资金申报通道越来越窄，如教育、医疗和民政等项目中央预算内资金只支持地级市以上地区及国家级贫困县的项目。</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（二）项目进度不均衡。尽管我市通过招商引资签约了不少新的项目，但多数仍处于项目的前期推进阶段，真正开工建设、投产达效的项目还比较少。</w:t>
      </w: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（三）要素保障不够充分。个别项目在办理用地调规、能耗指标、环保、专项评价等行政审批手续周期较长，项目建设中遇到卡脖子问题，影响项目推进力度。</w:t>
      </w:r>
    </w:p>
    <w:p>
      <w:pPr>
        <w:keepNext w:val="0"/>
        <w:keepLines w:val="0"/>
        <w:pageBreakBefore w:val="0"/>
        <w:wordWrap/>
        <w:overflowPunct/>
        <w:topLinePunct w:val="0"/>
        <w:bidi w:val="0"/>
        <w:spacing w:line="360" w:lineRule="auto"/>
        <w:ind w:left="105" w:leftChars="5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一是按照预算规定的项目和用途严格财务审核，经费支出严格按照预算规定项目的财务支出内容进行财务核算，在预算金额内严格控制费用的支出。</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二是严格控制“三公经费”支出，杜绝挪用和挤占其他预算资金，进一步细化三公经费管理，压缩三公经费支出。</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三是预算财务分析常态化，定期做好预算支出财务分析，做好部门整体支出预算评价工作。</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四是加强内部控制，加强与各科室之间的工作联系，保证业务科室正常开展工作，充分利用资金，提高资金使用效率提高服务工作水平。</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五是严格按照相关资金及项目管理办法和制度，做到专款专用，专项资金单独核算，对专项资金支出加大审核力度，严格按制度执行。</w:t>
      </w:r>
    </w:p>
    <w:p>
      <w:pPr>
        <w:keepNext w:val="0"/>
        <w:keepLines w:val="0"/>
        <w:pageBreakBefore w:val="0"/>
        <w:numPr>
          <w:ilvl w:val="0"/>
          <w:numId w:val="4"/>
        </w:numPr>
        <w:wordWrap/>
        <w:overflowPunct/>
        <w:topLinePunct w:val="0"/>
        <w:bidi w:val="0"/>
        <w:spacing w:line="360" w:lineRule="auto"/>
        <w:ind w:left="105" w:leftChars="5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keepNext w:val="0"/>
        <w:keepLines w:val="0"/>
        <w:pageBreakBefore w:val="0"/>
        <w:wordWrap/>
        <w:overflowPunct/>
        <w:topLinePunct w:val="0"/>
        <w:bidi w:val="0"/>
        <w:spacing w:line="360" w:lineRule="auto"/>
        <w:ind w:left="105" w:leftChars="50"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根据年初设定的绩效目标，整体绩效自评得分为98分，绩效评价结果为“优”，绩效评价报告详见附件。</w:t>
      </w: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keepNext w:val="0"/>
        <w:keepLines w:val="0"/>
        <w:pageBreakBefore w:val="0"/>
        <w:wordWrap/>
        <w:overflowPunct/>
        <w:topLinePunct w:val="0"/>
        <w:bidi w:val="0"/>
        <w:spacing w:line="360" w:lineRule="auto"/>
        <w:ind w:left="105" w:leftChars="50"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640" w:firstLineChars="200"/>
        <w:jc w:val="both"/>
        <w:rPr>
          <w:rFonts w:hint="eastAsia" w:eastAsia="仿宋_GB2312"/>
          <w:kern w:val="0"/>
          <w:sz w:val="32"/>
          <w:szCs w:val="32"/>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hint="eastAsia" w:ascii="宋体" w:hAnsi="宋体" w:eastAsia="宋体" w:cs="宋体"/>
          <w:bCs/>
          <w:spacing w:val="-4"/>
          <w:kern w:val="0"/>
          <w:sz w:val="28"/>
          <w:szCs w:val="28"/>
          <w:lang w:eastAsia="zh-CN"/>
        </w:rPr>
      </w:pPr>
    </w:p>
    <w:p>
      <w:pPr>
        <w:keepNext w:val="0"/>
        <w:keepLines w:val="0"/>
        <w:pageBreakBefore w:val="0"/>
        <w:wordWrap/>
        <w:overflowPunct/>
        <w:topLinePunct w:val="0"/>
        <w:bidi w:val="0"/>
        <w:spacing w:line="360" w:lineRule="auto"/>
        <w:ind w:left="105" w:leftChars="50" w:firstLine="544" w:firstLineChars="200"/>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keepNext w:val="0"/>
        <w:keepLines w:val="0"/>
        <w:pageBreakBefore w:val="0"/>
        <w:wordWrap/>
        <w:overflowPunct/>
        <w:topLinePunct w:val="0"/>
        <w:bidi w:val="0"/>
        <w:spacing w:before="1" w:line="360" w:lineRule="auto"/>
        <w:ind w:left="105" w:leftChars="50" w:firstLine="900" w:firstLineChars="200"/>
        <w:jc w:val="center"/>
        <w:rPr>
          <w:rFonts w:ascii="黑体" w:hAnsi="黑体" w:eastAsia="黑体" w:cs="黑体"/>
          <w:spacing w:val="15"/>
          <w:position w:val="10"/>
          <w:sz w:val="42"/>
          <w:szCs w:val="42"/>
        </w:rPr>
      </w:pPr>
    </w:p>
    <w:p>
      <w:pPr>
        <w:keepNext w:val="0"/>
        <w:keepLines w:val="0"/>
        <w:pageBreakBefore w:val="0"/>
        <w:wordWrap/>
        <w:overflowPunct/>
        <w:topLinePunct w:val="0"/>
        <w:bidi w:val="0"/>
        <w:spacing w:before="1" w:line="360" w:lineRule="auto"/>
        <w:ind w:left="105" w:leftChars="50" w:firstLine="900" w:firstLineChars="200"/>
        <w:jc w:val="center"/>
        <w:rPr>
          <w:rFonts w:hint="eastAsia" w:ascii="黑体" w:hAnsi="黑体" w:eastAsia="黑体" w:cs="黑体"/>
          <w:spacing w:val="15"/>
          <w:position w:val="10"/>
          <w:sz w:val="42"/>
          <w:szCs w:val="42"/>
          <w:lang w:val="en-US" w:eastAsia="zh-CN"/>
        </w:rPr>
      </w:pPr>
      <w:r>
        <w:rPr>
          <w:rFonts w:ascii="黑体" w:hAnsi="黑体" w:eastAsia="黑体" w:cs="黑体"/>
          <w:spacing w:val="15"/>
          <w:position w:val="10"/>
          <w:sz w:val="42"/>
          <w:szCs w:val="42"/>
        </w:rPr>
        <w:t>202</w:t>
      </w:r>
      <w:r>
        <w:rPr>
          <w:rFonts w:hint="eastAsia" w:ascii="黑体" w:hAnsi="黑体" w:eastAsia="黑体" w:cs="黑体"/>
          <w:spacing w:val="15"/>
          <w:position w:val="10"/>
          <w:sz w:val="42"/>
          <w:szCs w:val="42"/>
          <w:lang w:val="en-US" w:eastAsia="zh-CN"/>
        </w:rPr>
        <w:t>2</w:t>
      </w:r>
      <w:r>
        <w:rPr>
          <w:rFonts w:ascii="黑体" w:hAnsi="黑体" w:eastAsia="黑体" w:cs="黑体"/>
          <w:spacing w:val="15"/>
          <w:position w:val="10"/>
          <w:sz w:val="42"/>
          <w:szCs w:val="42"/>
        </w:rPr>
        <w:t xml:space="preserve"> 年度</w:t>
      </w:r>
      <w:r>
        <w:rPr>
          <w:rFonts w:hint="eastAsia" w:ascii="黑体" w:hAnsi="黑体" w:eastAsia="黑体" w:cs="黑体"/>
          <w:spacing w:val="15"/>
          <w:position w:val="10"/>
          <w:sz w:val="42"/>
          <w:szCs w:val="42"/>
          <w:lang w:val="en-US" w:eastAsia="zh-CN"/>
        </w:rPr>
        <w:t>汨罗市发展和改革局</w:t>
      </w:r>
    </w:p>
    <w:p>
      <w:pPr>
        <w:keepNext w:val="0"/>
        <w:keepLines w:val="0"/>
        <w:pageBreakBefore w:val="0"/>
        <w:wordWrap/>
        <w:overflowPunct/>
        <w:topLinePunct w:val="0"/>
        <w:bidi w:val="0"/>
        <w:spacing w:before="1" w:line="360" w:lineRule="auto"/>
        <w:ind w:left="105" w:leftChars="50" w:firstLine="900" w:firstLineChars="200"/>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项目支出绩效自评报告</w:t>
      </w:r>
    </w:p>
    <w:p>
      <w:pPr>
        <w:keepNext w:val="0"/>
        <w:keepLines w:val="0"/>
        <w:pageBreakBefore w:val="0"/>
        <w:wordWrap/>
        <w:overflowPunct/>
        <w:topLinePunct w:val="0"/>
        <w:bidi w:val="0"/>
        <w:spacing w:before="1" w:line="360" w:lineRule="auto"/>
        <w:ind w:left="105" w:leftChars="50" w:firstLine="900" w:firstLineChars="200"/>
        <w:jc w:val="center"/>
        <w:rPr>
          <w:rFonts w:ascii="黑体" w:hAnsi="黑体" w:eastAsia="黑体" w:cs="黑体"/>
          <w:spacing w:val="15"/>
          <w:position w:val="10"/>
          <w:sz w:val="42"/>
          <w:szCs w:val="42"/>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keepNext w:val="0"/>
        <w:keepLines w:val="0"/>
        <w:pageBreakBefore w:val="0"/>
        <w:wordWrap/>
        <w:overflowPunct/>
        <w:topLinePunct w:val="0"/>
        <w:bidi w:val="0"/>
        <w:spacing w:line="360" w:lineRule="auto"/>
        <w:rPr>
          <w:rFonts w:ascii="Arial"/>
          <w:sz w:val="21"/>
        </w:rPr>
      </w:pPr>
    </w:p>
    <w:p>
      <w:pPr>
        <w:keepNext w:val="0"/>
        <w:keepLines w:val="0"/>
        <w:pageBreakBefore w:val="0"/>
        <w:wordWrap/>
        <w:overflowPunct/>
        <w:topLinePunct w:val="0"/>
        <w:bidi w:val="0"/>
        <w:spacing w:line="360" w:lineRule="auto"/>
        <w:ind w:left="105" w:leftChars="50" w:firstLine="420" w:firstLineChars="200"/>
        <w:rPr>
          <w:rFonts w:ascii="Arial"/>
          <w:sz w:val="21"/>
        </w:rPr>
      </w:pPr>
    </w:p>
    <w:p>
      <w:pPr>
        <w:pStyle w:val="2"/>
        <w:keepNext w:val="0"/>
        <w:keepLines w:val="0"/>
        <w:pageBreakBefore w:val="0"/>
        <w:wordWrap/>
        <w:overflowPunct/>
        <w:topLinePunct w:val="0"/>
        <w:bidi w:val="0"/>
        <w:spacing w:before="89" w:line="360" w:lineRule="auto"/>
        <w:ind w:left="105" w:leftChars="50" w:firstLine="452" w:firstLineChars="200"/>
        <w:jc w:val="center"/>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p>
    <w:p>
      <w:pPr>
        <w:pStyle w:val="2"/>
        <w:keepNext w:val="0"/>
        <w:keepLines w:val="0"/>
        <w:pageBreakBefore w:val="0"/>
        <w:wordWrap/>
        <w:overflowPunct/>
        <w:topLinePunct w:val="0"/>
        <w:bidi w:val="0"/>
        <w:spacing w:before="289" w:line="360" w:lineRule="auto"/>
        <w:ind w:left="105" w:leftChars="50" w:firstLine="488" w:firstLineChars="200"/>
        <w:jc w:val="center"/>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keepNext w:val="0"/>
        <w:keepLines w:val="0"/>
        <w:pageBreakBefore w:val="0"/>
        <w:wordWrap/>
        <w:overflowPunct/>
        <w:topLinePunct w:val="0"/>
        <w:bidi w:val="0"/>
        <w:spacing w:before="1" w:line="360" w:lineRule="auto"/>
        <w:ind w:left="105" w:leftChars="50" w:firstLine="508" w:firstLineChars="200"/>
        <w:jc w:val="center"/>
        <w:rPr>
          <w:sz w:val="24"/>
          <w:szCs w:val="24"/>
        </w:rPr>
        <w:sectPr>
          <w:footerReference r:id="rId8" w:type="default"/>
          <w:pgSz w:w="11900" w:h="16820"/>
          <w:pgMar w:top="1429" w:right="1782" w:bottom="1158" w:left="1450" w:header="0" w:footer="850" w:gutter="0"/>
          <w:cols w:space="720" w:num="1"/>
        </w:sectPr>
      </w:pPr>
      <w:r>
        <w:rPr>
          <w:spacing w:val="7"/>
          <w:sz w:val="24"/>
          <w:szCs w:val="24"/>
        </w:rPr>
        <w:t>(此面为封面)</w:t>
      </w:r>
    </w:p>
    <w:p>
      <w:pPr>
        <w:keepNext w:val="0"/>
        <w:keepLines w:val="0"/>
        <w:pageBreakBefore w:val="0"/>
        <w:wordWrap/>
        <w:overflowPunct/>
        <w:topLinePunct w:val="0"/>
        <w:bidi w:val="0"/>
        <w:spacing w:before="137" w:line="360" w:lineRule="auto"/>
        <w:jc w:val="both"/>
        <w:rPr>
          <w:rFonts w:ascii="黑体" w:hAnsi="黑体" w:eastAsia="黑体" w:cs="黑体"/>
          <w:b/>
          <w:bCs/>
          <w:spacing w:val="6"/>
          <w:sz w:val="42"/>
          <w:szCs w:val="42"/>
        </w:rPr>
      </w:pPr>
    </w:p>
    <w:p>
      <w:pPr>
        <w:keepNext w:val="0"/>
        <w:keepLines w:val="0"/>
        <w:pageBreakBefore w:val="0"/>
        <w:wordWrap/>
        <w:overflowPunct/>
        <w:topLinePunct w:val="0"/>
        <w:bidi w:val="0"/>
        <w:spacing w:before="137" w:line="360" w:lineRule="auto"/>
        <w:ind w:left="105" w:leftChars="50" w:firstLine="867" w:firstLineChars="200"/>
        <w:jc w:val="center"/>
        <w:rPr>
          <w:rFonts w:ascii="黑体" w:hAnsi="黑体" w:eastAsia="黑体" w:cs="黑体"/>
          <w:b/>
          <w:bCs/>
          <w:spacing w:val="6"/>
          <w:sz w:val="42"/>
          <w:szCs w:val="42"/>
        </w:rPr>
      </w:pPr>
      <w:r>
        <w:rPr>
          <w:rFonts w:ascii="黑体" w:hAnsi="黑体" w:eastAsia="黑体" w:cs="黑体"/>
          <w:b/>
          <w:bCs/>
          <w:spacing w:val="6"/>
          <w:sz w:val="42"/>
          <w:szCs w:val="42"/>
        </w:rPr>
        <w:t>项目支出绩效评价报告</w:t>
      </w:r>
    </w:p>
    <w:p>
      <w:pPr>
        <w:keepNext w:val="0"/>
        <w:keepLines w:val="0"/>
        <w:pageBreakBefore w:val="0"/>
        <w:wordWrap/>
        <w:overflowPunct/>
        <w:topLinePunct w:val="0"/>
        <w:bidi w:val="0"/>
        <w:spacing w:before="137" w:line="360" w:lineRule="auto"/>
        <w:ind w:left="105" w:leftChars="50" w:firstLine="867" w:firstLineChars="200"/>
        <w:jc w:val="center"/>
        <w:rPr>
          <w:rFonts w:ascii="黑体" w:hAnsi="黑体" w:eastAsia="黑体" w:cs="黑体"/>
          <w:b/>
          <w:bCs/>
          <w:spacing w:val="6"/>
          <w:sz w:val="42"/>
          <w:szCs w:val="42"/>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为全市重点项目争资、管理、考核和开展重点项目前期相关工作做好项目规划编制，全力推动项目建设，全力打造具有吸引力、创造力和竞争力的营商环境高地，争取中央和省级预算内资金；通过重大项目改善基础设施，美化生活环境，提高幸福指数，培育产业、增强财源和优化产业结构；通过推动重大项目建设，进一步促进了制造业高质量发展，增强了产业发展动能；助力“三大攻坚战”，推动脱贫攻坚目标任务完成；夯实基础设施建设，提升了城市品质；发展了民生社会事业，增进了人民福祉。其次，在政务服务大厅设置服务窗口，网上政务服务平台设置按照全国一体化政务服务平台相关标准规范设置专区，实现“一件事一次办”，社会事务综合窗、工程建设综合窗、市场准入综合窗实现一窗无差别受理，推动政务服务优质高效。进一步加大改革创新力度，优化政府职能，持续打造审批更少、体制更顺、机制更活、效率更高、监管更灵、服务更优的市场化、法治化、国际化营商环境，为市场主体提供全方位、全过程、全生命周期的保障、支持和服务，更大激发市场活力，增强发展内生动力，提升城市吸引力、竞争力。</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(二)项目资金使用管理情况。</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en-US" w:bidi="ar-SA"/>
        </w:rPr>
      </w:pPr>
      <w:r>
        <w:rPr>
          <w:rFonts w:hint="eastAsia" w:ascii="仿宋" w:hAnsi="仿宋" w:eastAsia="仿宋" w:cs="仿宋"/>
          <w:snapToGrid w:val="0"/>
          <w:color w:val="000000"/>
          <w:kern w:val="0"/>
          <w:sz w:val="32"/>
          <w:szCs w:val="32"/>
          <w:lang w:val="en-US" w:eastAsia="en-US" w:bidi="ar-SA"/>
        </w:rPr>
        <w:t>1、资金到位情况：汨罗市发展和改革局重大项目前期专项费用经2022年初申报，经批复，预算为200万元，到位资金200万元。</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en-US" w:bidi="ar-SA"/>
        </w:rPr>
      </w:pPr>
      <w:r>
        <w:rPr>
          <w:rFonts w:hint="eastAsia" w:ascii="仿宋" w:hAnsi="仿宋" w:eastAsia="仿宋" w:cs="仿宋"/>
          <w:snapToGrid w:val="0"/>
          <w:color w:val="000000"/>
          <w:kern w:val="0"/>
          <w:sz w:val="32"/>
          <w:szCs w:val="32"/>
          <w:lang w:val="en-US" w:eastAsia="en-US" w:bidi="ar-SA"/>
        </w:rPr>
        <w:t>2、项目资金执行情况：根据实际工作情况，汨罗市发展和改革局重大项目前期专项费用总计支出200万元。</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en-US" w:bidi="ar-SA"/>
        </w:rPr>
      </w:pPr>
      <w:r>
        <w:rPr>
          <w:rFonts w:hint="eastAsia" w:ascii="仿宋" w:hAnsi="仿宋" w:eastAsia="仿宋" w:cs="仿宋"/>
          <w:snapToGrid w:val="0"/>
          <w:color w:val="000000"/>
          <w:kern w:val="0"/>
          <w:sz w:val="32"/>
          <w:szCs w:val="32"/>
          <w:lang w:val="en-US" w:eastAsia="en-US" w:bidi="ar-SA"/>
        </w:rPr>
        <w:t>3、项目资金管理情况：</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en-US" w:bidi="ar-SA"/>
        </w:rPr>
      </w:pPr>
      <w:r>
        <w:rPr>
          <w:rFonts w:hint="eastAsia" w:ascii="仿宋" w:hAnsi="仿宋" w:eastAsia="仿宋" w:cs="仿宋"/>
          <w:snapToGrid w:val="0"/>
          <w:color w:val="000000"/>
          <w:kern w:val="0"/>
          <w:sz w:val="32"/>
          <w:szCs w:val="32"/>
          <w:lang w:val="en-US" w:eastAsia="en-US" w:bidi="ar-SA"/>
        </w:rPr>
        <w:t>专项资金本着专款专用原则，严格执行项目资金批准的使用计划和项目批复内容，不擅自调项、扩项、缩项、不拆借、挪用、挤占，对每笔专项资金的支付，严格执行财务制度，落实专项资金审核程序。市发展改革委各处室在项目实施过程中，严格执行招投标、政府采购等制度规定，严格执行市发展改革委机关财经管理制度，对专项资金项目分别制定或联合市财政制定下发了专项资金管理办法。 所有项目资金的拨付，均按照相关管理办法、财经管理制度使用，属于政府采购、公开招标的项目均要求按政府采 购或招投标程序管理实施。按市财政规定，50 万元以上的部门预算项目、公共专项资金，设置了项目支出绩效目标表。加强对项目的监控，对项目的资金投向、项目实施进度及资金使用情况等预算执行情况实行动态监控、进行跟踪管理，每半年在门户网站将监控情况向社会公开，确保项目资金专款专用，并保证项目按期保质完成。</w:t>
      </w:r>
    </w:p>
    <w:p>
      <w:pPr>
        <w:pStyle w:val="2"/>
        <w:keepNext w:val="0"/>
        <w:keepLines w:val="0"/>
        <w:pageBreakBefore w:val="0"/>
        <w:widowControl/>
        <w:numPr>
          <w:ilvl w:val="0"/>
          <w:numId w:val="5"/>
        </w:numPr>
        <w:kinsoku w:val="0"/>
        <w:wordWrap/>
        <w:overflowPunct/>
        <w:topLinePunct w:val="0"/>
        <w:autoSpaceDE w:val="0"/>
        <w:autoSpaceDN w:val="0"/>
        <w:bidi w:val="0"/>
        <w:adjustRightInd w:val="0"/>
        <w:snapToGrid w:val="0"/>
        <w:spacing w:line="360" w:lineRule="auto"/>
        <w:ind w:left="105" w:leftChars="50" w:right="0" w:firstLine="562" w:firstLineChars="200"/>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项目支出绩效目标完成程度。</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w:t>
      </w:r>
      <w:r>
        <w:rPr>
          <w:rFonts w:hint="eastAsia" w:ascii="仿宋" w:hAnsi="仿宋" w:eastAsia="仿宋" w:cs="仿宋"/>
          <w:snapToGrid w:val="0"/>
          <w:color w:val="000000"/>
          <w:kern w:val="0"/>
          <w:sz w:val="32"/>
          <w:szCs w:val="32"/>
          <w:lang w:val="en-US" w:eastAsia="en-US" w:bidi="ar-SA"/>
        </w:rPr>
        <w:t>重大项目前期</w:t>
      </w:r>
      <w:r>
        <w:rPr>
          <w:rFonts w:hint="eastAsia" w:ascii="仿宋" w:hAnsi="仿宋" w:eastAsia="仿宋" w:cs="仿宋"/>
          <w:snapToGrid w:val="0"/>
          <w:color w:val="000000"/>
          <w:kern w:val="0"/>
          <w:sz w:val="32"/>
          <w:szCs w:val="32"/>
          <w:lang w:val="en-US" w:eastAsia="zh-CN" w:bidi="ar-SA"/>
        </w:rPr>
        <w:t>工作专项”总目标为认真做好全市重大项目前期工作，扎实谋划、储备、推进一批投资大、效益好、带动能力强，对全市经济社会发展有重大影响的项目，积极争取上级资金，大力推进项目建设。持续推进“十四五”规划的落地生效，加强规划的定期评估和督导，确保汨罗经济社会发展稳中求进，达到预期目标。开展汨罗市保障性安居工程基础设施配套项目等全市重大项目开展前期工作和协调管理工作，建立完善调度机制，适时召开专题调度会，协调解决重大前期项目存在的主要矛盾和问题。</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2022年促使省、岳阳市、汨罗市重点项目顺利建设，确保促进全市经济社会持续发展。完成重点项目业主单位人员培训工作，收集、汇总、编制全市政府投资项目限度实施计划，有效保证年度任务完成。申报多个省重点、岳阳重点、岳阳前期项目。</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105" w:leftChars="5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根据预算安排、绩效目标、国库管理等要求，我局成立绩效工作小组，组织实施本单位2022年绩效管理工作。在项目资金管理方面，单位建立和健全项目资金管理制度和管理办法。严格资金的使用和划拨流程，确保资金使用安全、公平、合理。项目资金做到了专款专用，及时支付。资金的支付均通过对公账户，直接支付到供应商，切实保障了资金使用的准确性和安全性。其次，深入学习贯彻各类文件精神，不断提高部门预算绩效运行监控管理的意识，进一步掌握预算绩效运行监控管理的方式方法，以求绩效目标更全面更细致更可行，与日常工作任务及年度工作目标高度融合；对照年度绩效目标，围绕中心工作，扎实开展好各项工作任务，不断提高预算执行率及资金使用效益；各部门与局财务部门加强沟通，确保资金使用规范、绩效运行工作真抓实干。</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我单位严格规范资金管理，项目管理，在人员支出、公用支出方面严格执行各项财务制度；专项经费使用上，在保证各项整治任务顺利完成的同时，严格落实厉行节约的原则，实行了先有预算，后有执行，用钱必问效，无效必问责的机制。</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2022年度“重大项目前期工作专项”项目，达到了预期目标要求，项目管理规范，资金管理安全，资金拨付及时到位，社会效益显著，市民满意率较高。根据年初设定的绩效目标，项目绩效自评得分为98分。项目绩效目标完成情况：一是圆满完成了国民经济和社会发展计划的编制，争资争项达到了年初的预期目标，多个项目成功立项；二是重大项目顺利推进，价格调控在合理范围内。</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ordWrap/>
        <w:overflowPunct/>
        <w:topLinePunct w:val="0"/>
        <w:bidi w:val="0"/>
        <w:spacing w:line="360" w:lineRule="auto"/>
        <w:ind w:left="105" w:leftChars="50"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2022年全市新入库5000万以上重大项目61个；园区新签约项目共84个，10亿元以上项目6个，5亿元以上项目8个，亿元以上项目29个，合同引资250.58亿元。新开工项目70个，总投资133.66亿元，累计完成投资50.21亿元；续建项目55个，总投资346.88亿元，累计完成投资51.98亿元；竣工投产项目50个，累计完成投资29.72亿元。二是省、市重点项目推进有力。4个项目纳入省重点工程，2022年计划投资45亿元，1-11月份共完成投资55.1亿元，完成年度计划的132.4%。15个项目列入岳阳市“双百工程”重大建设项目，2022年计划投资31.61亿元，11月份共完成投资38.5亿元，完成年度计划的121.7%。9个项目列入岳阳市“双百工程”重大前期项目，截至目前，9个项目均已实现年度任务目标，其中9个项目均已开工建设。三是重大工程进展有序。玉池抽水蓄能项目已成功通过可行性研究报告审查，12月底项目核准，可望年内开工建设。汨罗火电项目已启动预可行性研究报告编制。屋顶分布式光伏开发全国试点项目在省内率先开工，中核、华能2个项目成功并网发电，截至目前发电量已突破400万千瓦时。A2通用机场建设项目已经完成选址服务、航行服务两个报告，并于8月份通过军方选址审批等前期工作。长岭－长沙黄花国际机场航煤管道项目已完成管道铺设、水保修复、土地平整和农田复原。</w:t>
      </w:r>
    </w:p>
    <w:p>
      <w:pPr>
        <w:keepNext w:val="0"/>
        <w:keepLines w:val="0"/>
        <w:pageBreakBefore w:val="0"/>
        <w:wordWrap/>
        <w:overflowPunct/>
        <w:topLinePunct w:val="0"/>
        <w:bidi w:val="0"/>
        <w:spacing w:line="360" w:lineRule="auto"/>
        <w:ind w:left="105" w:leftChars="50"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我局2022年共争取中央预算内项目20个，到位资金14937万元；争取省预算内项目6个，到位资金1491.8万元；争取农村电网巩固提升工程资金6325万元；争取其他专项资金182.7万元。19个债券项目通过国家发改委、财政部的共同审核，共争取到位地方政府专项债项目9个、资金14.04亿元（配套园供水设施提质改造工程和循环园标厂四期发行两期）；超额完成年度任务。获批世行贷款额度5000万美元。谋划2023年中央预算内项目56个，专项债项目26个，入库中央预算内项目41个，专项债项目18个。</w:t>
      </w: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640" w:firstLineChars="200"/>
        <w:textAlignment w:val="auto"/>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(一)主要经验及做法</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640" w:firstLineChars="200"/>
        <w:textAlignment w:val="auto"/>
        <w:rPr>
          <w:rFonts w:hint="eastAsia" w:ascii="Arial" w:hAnsi="Arial" w:eastAsia="仿宋_GB2312" w:cs="Arial"/>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学习十九届六中全会和中央经济工作会议精神，针对全面节约战略、碳达峰碳中和等热点问题和六稳六保、供给侧结构性改革等难点问题向市委市政府提出合理化建议。全面推行工程建设项目区域评估工作，推进行政审批中介服务标准化建设，完善政府投资项目审批及概算管理体制，进一步优化审批流程，提升审批效率。开展“走流程、解难题、优服务”行动，进一步优化营商环境。今年以来，在平台共办结项目立项482件，其中审批类119件，核准类18件，备案类345件。全部实行线上办理，按时办结率为100％。</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640" w:firstLineChars="200"/>
        <w:textAlignment w:val="auto"/>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(二)存在的问题及原因分析</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640" w:firstLineChars="200"/>
        <w:textAlignment w:val="auto"/>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（1）重大项目经费预算不足，难以保障正常费用支出；</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640" w:firstLineChars="200"/>
        <w:textAlignment w:val="auto"/>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争资争项难度加大。中央预算内资金总盘子虽保持基本持平，但其主要投向转移到“三重一大”、核心技术研发、重大科技创新等，能够支持县一级的专项和资金越来越少。加上国家政策收紧，项目资金申报通道越来越窄，如教育、医疗和民政等项目中央预算内资金只支持地级市以上地区及国家级贫困县的项目。</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105" w:leftChars="5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640" w:firstLineChars="200"/>
        <w:textAlignment w:val="auto"/>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加强项目包装谋划，针对预算内资金专项，逐条逐项列出我市项目清单，指导相关单位依据国家产业政策和投资导向开发储备项目，动态管理项目库，分类推进项目前期，全过程跟踪，实现由“资金等项目”向“项目等资金”转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105" w:leftChars="50"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left="105" w:leftChars="50" w:firstLine="640" w:firstLineChars="200"/>
        <w:textAlignment w:val="baseline"/>
        <w:outlineLvl w:val="0"/>
        <w:rPr>
          <w:rFonts w:hint="eastAsia" w:eastAsia="仿宋_GB2312"/>
          <w:kern w:val="0"/>
          <w:sz w:val="32"/>
          <w:szCs w:val="32"/>
          <w:lang w:eastAsia="zh-CN"/>
        </w:rPr>
      </w:pP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E46EF"/>
    <w:multiLevelType w:val="singleLevel"/>
    <w:tmpl w:val="AB3E46EF"/>
    <w:lvl w:ilvl="0" w:tentative="0">
      <w:start w:val="9"/>
      <w:numFmt w:val="chineseCounting"/>
      <w:suff w:val="nothing"/>
      <w:lvlText w:val="%1、"/>
      <w:lvlJc w:val="left"/>
      <w:rPr>
        <w:rFonts w:hint="eastAsia"/>
      </w:rPr>
    </w:lvl>
  </w:abstractNum>
  <w:abstractNum w:abstractNumId="1">
    <w:nsid w:val="B4106A0E"/>
    <w:multiLevelType w:val="singleLevel"/>
    <w:tmpl w:val="B4106A0E"/>
    <w:lvl w:ilvl="0" w:tentative="0">
      <w:start w:val="3"/>
      <w:numFmt w:val="chineseCounting"/>
      <w:lvlText w:val="(%1)"/>
      <w:lvlJc w:val="left"/>
      <w:pPr>
        <w:tabs>
          <w:tab w:val="left" w:pos="312"/>
        </w:tabs>
      </w:pPr>
      <w:rPr>
        <w:rFonts w:hint="eastAsia"/>
      </w:rPr>
    </w:lvl>
  </w:abstractNum>
  <w:abstractNum w:abstractNumId="2">
    <w:nsid w:val="F6AA697B"/>
    <w:multiLevelType w:val="singleLevel"/>
    <w:tmpl w:val="F6AA697B"/>
    <w:lvl w:ilvl="0" w:tentative="0">
      <w:start w:val="2"/>
      <w:numFmt w:val="chineseCounting"/>
      <w:suff w:val="nothing"/>
      <w:lvlText w:val="（%1）"/>
      <w:lvlJc w:val="left"/>
      <w:rPr>
        <w:rFonts w:hint="eastAsia"/>
      </w:rPr>
    </w:lvl>
  </w:abstractNum>
  <w:abstractNum w:abstractNumId="3">
    <w:nsid w:val="1A08F158"/>
    <w:multiLevelType w:val="singleLevel"/>
    <w:tmpl w:val="1A08F158"/>
    <w:lvl w:ilvl="0" w:tentative="0">
      <w:start w:val="1"/>
      <w:numFmt w:val="chineseCounting"/>
      <w:suff w:val="nothing"/>
      <w:lvlText w:val="%1、"/>
      <w:lvlJc w:val="left"/>
      <w:rPr>
        <w:rFonts w:hint="eastAsia"/>
      </w:rPr>
    </w:lvl>
  </w:abstractNum>
  <w:abstractNum w:abstractNumId="4">
    <w:nsid w:val="44B18ECE"/>
    <w:multiLevelType w:val="singleLevel"/>
    <w:tmpl w:val="44B18ECE"/>
    <w:lvl w:ilvl="0" w:tentative="0">
      <w:start w:val="4"/>
      <w:numFmt w:val="chineseCounting"/>
      <w:suff w:val="nothing"/>
      <w:lvlText w:val="%1、"/>
      <w:lvlJc w:val="left"/>
      <w:rPr>
        <w:rFonts w:hint="eastAsia"/>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DU5M2ViMThhNWM1NjM0OTA5NTNhOTQ3MWE5M2Y4NWMifQ=="/>
  </w:docVars>
  <w:rsids>
    <w:rsidRoot w:val="00000000"/>
    <w:rsid w:val="01AF3811"/>
    <w:rsid w:val="036D0BD9"/>
    <w:rsid w:val="03795BF7"/>
    <w:rsid w:val="03EF03E7"/>
    <w:rsid w:val="086E756B"/>
    <w:rsid w:val="0ACF37E5"/>
    <w:rsid w:val="0B400BC6"/>
    <w:rsid w:val="0E68228D"/>
    <w:rsid w:val="15276E52"/>
    <w:rsid w:val="19D32FBC"/>
    <w:rsid w:val="1E6A4395"/>
    <w:rsid w:val="22F015DA"/>
    <w:rsid w:val="25557A3D"/>
    <w:rsid w:val="26EA5ED7"/>
    <w:rsid w:val="27A93B82"/>
    <w:rsid w:val="2AE00186"/>
    <w:rsid w:val="308216BE"/>
    <w:rsid w:val="31AC22D8"/>
    <w:rsid w:val="34FE1149"/>
    <w:rsid w:val="37AE3811"/>
    <w:rsid w:val="3A550786"/>
    <w:rsid w:val="3B7A130F"/>
    <w:rsid w:val="3C741EC8"/>
    <w:rsid w:val="3E0D493C"/>
    <w:rsid w:val="3E4C39D8"/>
    <w:rsid w:val="445025EF"/>
    <w:rsid w:val="4618171B"/>
    <w:rsid w:val="46E85CF8"/>
    <w:rsid w:val="4F8B6063"/>
    <w:rsid w:val="52FA3F96"/>
    <w:rsid w:val="55850F17"/>
    <w:rsid w:val="56F634EA"/>
    <w:rsid w:val="57AE6D93"/>
    <w:rsid w:val="59F229C6"/>
    <w:rsid w:val="5FB623A7"/>
    <w:rsid w:val="621A6DD3"/>
    <w:rsid w:val="64AF115A"/>
    <w:rsid w:val="682623C3"/>
    <w:rsid w:val="691F6F6D"/>
    <w:rsid w:val="6E3851B0"/>
    <w:rsid w:val="6F6E4069"/>
    <w:rsid w:val="71DB278A"/>
    <w:rsid w:val="76764B61"/>
    <w:rsid w:val="7D916095"/>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toc 5"/>
    <w:basedOn w:val="1"/>
    <w:next w:val="1"/>
    <w:qFormat/>
    <w:uiPriority w:val="0"/>
    <w:pPr>
      <w:widowControl w:val="0"/>
      <w:ind w:left="1680" w:leftChars="800"/>
      <w:jc w:val="both"/>
    </w:pPr>
    <w:rPr>
      <w:rFonts w:ascii="Times New Roman" w:hAnsi="Times New Roman" w:eastAsia="宋体" w:cs="Times New Roman"/>
      <w:kern w:val="2"/>
      <w:sz w:val="21"/>
      <w:szCs w:val="22"/>
      <w:lang w:val="en-US" w:eastAsia="zh-CN" w:bidi="ar-SA"/>
    </w:rPr>
  </w:style>
  <w:style w:type="paragraph" w:styleId="4">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28</Pages>
  <Words>10808</Words>
  <Characters>11544</Characters>
  <TotalTime>103</TotalTime>
  <ScaleCrop>false</ScaleCrop>
  <LinksUpToDate>false</LinksUpToDate>
  <CharactersWithSpaces>11740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2024-06-24T07:22:54Z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A1E9AC54BF58440288AD196632C2A254_12</vt:lpwstr>
  </property>
</Properties>
</file>