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9"/>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28</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28</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3.68</w:t>
            </w:r>
          </w:p>
        </w:tc>
        <w:tc>
          <w:tcPr>
            <w:tcW w:w="2039"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3.34</w:t>
            </w:r>
          </w:p>
        </w:tc>
        <w:tc>
          <w:tcPr>
            <w:tcW w:w="1983" w:type="dxa"/>
            <w:gridSpan w:val="2"/>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lang w:val="en-US" w:eastAsia="zh-CN"/>
              </w:rPr>
              <w:t>3.34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3.68</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6.2</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、复退军人生活补助</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34.59</w:t>
            </w:r>
          </w:p>
        </w:tc>
        <w:tc>
          <w:tcPr>
            <w:tcW w:w="1983" w:type="dxa"/>
            <w:gridSpan w:val="2"/>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val="en-US" w:eastAsia="zh-CN"/>
              </w:rPr>
              <w:t>34.59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3271"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4、帮扶车间一次性场地费补贴和物流补贴</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15.04</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14.57</w:t>
            </w:r>
          </w:p>
        </w:tc>
        <w:tc>
          <w:tcPr>
            <w:tcW w:w="1983"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14</w:t>
            </w:r>
          </w:p>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14.57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3.84</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3.72</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8</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7.75</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7.75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3.2</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3.1</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r>
              <w:rPr>
                <w:rFonts w:ascii="仿宋_GB2312" w:hAnsi="宋体" w:eastAsia="仿宋_GB2312" w:cs="宋体"/>
                <w:kern w:val="0"/>
                <w:lang w:eastAsia="zh-CN"/>
              </w:rPr>
              <w:t>厉行节约</w:t>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9"/>
        <w:tblW w:w="99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jc w:val="center"/>
        </w:trPr>
        <w:tc>
          <w:tcPr>
            <w:tcW w:w="1074" w:type="dxa"/>
            <w:vAlign w:val="center"/>
          </w:tcPr>
          <w:p>
            <w:pPr>
              <w:spacing w:line="240" w:lineRule="auto"/>
              <w:jc w:val="left"/>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left"/>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汨罗市就业服务中心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1074" w:type="dxa"/>
            <w:vMerge w:val="restart"/>
            <w:tcBorders>
              <w:bottom w:val="nil"/>
            </w:tcBorders>
            <w:vAlign w:val="center"/>
          </w:tcPr>
          <w:p>
            <w:pPr>
              <w:spacing w:line="240" w:lineRule="auto"/>
              <w:ind w:firstLine="420"/>
              <w:jc w:val="left"/>
              <w:rPr>
                <w:rFonts w:ascii="仿宋_GB2312" w:eastAsia="仿宋_GB2312"/>
                <w:kern w:val="0"/>
              </w:rPr>
            </w:pPr>
          </w:p>
          <w:p>
            <w:pPr>
              <w:spacing w:line="240" w:lineRule="auto"/>
              <w:jc w:val="left"/>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left"/>
              <w:rPr>
                <w:rFonts w:ascii="仿宋_GB2312" w:eastAsia="仿宋_GB2312"/>
                <w:kern w:val="0"/>
              </w:rPr>
            </w:pPr>
          </w:p>
        </w:tc>
        <w:tc>
          <w:tcPr>
            <w:tcW w:w="12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74" w:type="dxa"/>
            <w:vMerge w:val="continue"/>
            <w:tcBorders>
              <w:top w:val="nil"/>
              <w:bottom w:val="nil"/>
            </w:tcBorders>
            <w:vAlign w:val="center"/>
          </w:tcPr>
          <w:p>
            <w:pPr>
              <w:spacing w:line="240" w:lineRule="auto"/>
              <w:ind w:firstLine="420"/>
              <w:jc w:val="left"/>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385.24</w:t>
            </w:r>
          </w:p>
        </w:tc>
        <w:tc>
          <w:tcPr>
            <w:tcW w:w="129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385.24</w:t>
            </w:r>
          </w:p>
        </w:tc>
        <w:tc>
          <w:tcPr>
            <w:tcW w:w="12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385.24</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jc w:val="center"/>
        </w:trPr>
        <w:tc>
          <w:tcPr>
            <w:tcW w:w="1074" w:type="dxa"/>
            <w:vMerge w:val="continue"/>
            <w:tcBorders>
              <w:top w:val="nil"/>
              <w:bottom w:val="nil"/>
            </w:tcBorders>
            <w:vAlign w:val="center"/>
          </w:tcPr>
          <w:p>
            <w:pPr>
              <w:spacing w:line="240" w:lineRule="auto"/>
              <w:ind w:firstLine="420"/>
              <w:jc w:val="left"/>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1074" w:type="dxa"/>
            <w:vMerge w:val="continue"/>
            <w:tcBorders>
              <w:top w:val="nil"/>
              <w:bottom w:val="nil"/>
            </w:tcBorders>
            <w:vAlign w:val="center"/>
          </w:tcPr>
          <w:p>
            <w:pPr>
              <w:spacing w:line="240" w:lineRule="auto"/>
              <w:ind w:firstLine="420"/>
              <w:jc w:val="left"/>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330.65</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54.59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74" w:type="dxa"/>
            <w:vMerge w:val="continue"/>
            <w:tcBorders>
              <w:top w:val="nil"/>
              <w:bottom w:val="nil"/>
            </w:tcBorders>
            <w:vAlign w:val="center"/>
          </w:tcPr>
          <w:p>
            <w:pPr>
              <w:spacing w:line="240" w:lineRule="auto"/>
              <w:ind w:firstLine="420"/>
              <w:jc w:val="left"/>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74" w:type="dxa"/>
            <w:vMerge w:val="continue"/>
            <w:tcBorders>
              <w:top w:val="nil"/>
              <w:bottom w:val="nil"/>
            </w:tcBorders>
            <w:vAlign w:val="center"/>
          </w:tcPr>
          <w:p>
            <w:pPr>
              <w:spacing w:line="240" w:lineRule="auto"/>
              <w:ind w:firstLine="420"/>
              <w:jc w:val="left"/>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74" w:type="dxa"/>
            <w:vMerge w:val="continue"/>
            <w:tcBorders>
              <w:top w:val="nil"/>
            </w:tcBorders>
            <w:vAlign w:val="center"/>
          </w:tcPr>
          <w:p>
            <w:pPr>
              <w:spacing w:line="240" w:lineRule="auto"/>
              <w:ind w:firstLine="420"/>
              <w:jc w:val="left"/>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74" w:type="dxa"/>
            <w:vMerge w:val="restart"/>
            <w:tcBorders>
              <w:bottom w:val="nil"/>
            </w:tcBorders>
            <w:vAlign w:val="center"/>
          </w:tcPr>
          <w:p>
            <w:pPr>
              <w:spacing w:line="240" w:lineRule="auto"/>
              <w:jc w:val="left"/>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1074" w:type="dxa"/>
            <w:vMerge w:val="continue"/>
            <w:tcBorders>
              <w:top w:val="nil"/>
            </w:tcBorders>
            <w:vAlign w:val="center"/>
          </w:tcPr>
          <w:p>
            <w:pPr>
              <w:spacing w:line="240" w:lineRule="auto"/>
              <w:ind w:firstLine="420"/>
              <w:jc w:val="left"/>
              <w:rPr>
                <w:rFonts w:ascii="仿宋_GB2312" w:eastAsia="仿宋_GB2312"/>
                <w:kern w:val="0"/>
              </w:rPr>
            </w:pPr>
          </w:p>
        </w:tc>
        <w:tc>
          <w:tcPr>
            <w:tcW w:w="4645" w:type="dxa"/>
            <w:gridSpan w:val="4"/>
            <w:vAlign w:val="center"/>
          </w:tcPr>
          <w:p>
            <w:pPr>
              <w:spacing w:line="240" w:lineRule="auto"/>
              <w:ind w:firstLine="420"/>
              <w:jc w:val="left"/>
              <w:rPr>
                <w:rFonts w:hint="eastAsia" w:ascii="仿宋_GB2312" w:eastAsia="仿宋_GB2312"/>
                <w:kern w:val="0"/>
              </w:rPr>
            </w:pPr>
            <w:r>
              <w:rPr>
                <w:rFonts w:hint="eastAsia" w:ascii="仿宋_GB2312" w:eastAsia="仿宋_GB2312"/>
                <w:kern w:val="0"/>
              </w:rPr>
              <w:t>任务1：完成本单位正常工作，全年支出不超预算收入</w:t>
            </w:r>
          </w:p>
          <w:p>
            <w:pPr>
              <w:spacing w:line="240" w:lineRule="auto"/>
              <w:ind w:firstLine="420"/>
              <w:jc w:val="left"/>
              <w:rPr>
                <w:rFonts w:hint="eastAsia" w:ascii="仿宋_GB2312" w:eastAsia="仿宋_GB2312"/>
                <w:kern w:val="0"/>
              </w:rPr>
            </w:pPr>
            <w:r>
              <w:rPr>
                <w:rFonts w:hint="eastAsia" w:ascii="仿宋_GB2312" w:eastAsia="仿宋_GB2312"/>
                <w:kern w:val="0"/>
              </w:rPr>
              <w:t>任务2：负责失业保险参保登记、协助税务做好基金征缴、待遇审核发放及管理工作</w:t>
            </w:r>
          </w:p>
          <w:p>
            <w:pPr>
              <w:spacing w:line="240" w:lineRule="auto"/>
              <w:ind w:firstLine="420"/>
              <w:jc w:val="left"/>
              <w:rPr>
                <w:rFonts w:hint="eastAsia" w:ascii="仿宋_GB2312" w:eastAsia="仿宋_GB2312"/>
                <w:kern w:val="0"/>
              </w:rPr>
            </w:pPr>
            <w:r>
              <w:rPr>
                <w:rFonts w:hint="eastAsia" w:ascii="仿宋_GB2312" w:eastAsia="仿宋_GB2312"/>
                <w:kern w:val="0"/>
              </w:rPr>
              <w:t>任务3：做好失业人员的登记、调查、统计工作，开展创业担保贷款工作、做好创新创业、就业扶贫、带动就业工作</w:t>
            </w:r>
          </w:p>
          <w:p>
            <w:pPr>
              <w:spacing w:line="240" w:lineRule="auto"/>
              <w:ind w:firstLine="420"/>
              <w:jc w:val="left"/>
              <w:rPr>
                <w:rFonts w:hint="eastAsia" w:ascii="仿宋_GB2312" w:eastAsia="仿宋_GB2312"/>
                <w:kern w:val="0"/>
              </w:rPr>
            </w:pPr>
            <w:r>
              <w:rPr>
                <w:rFonts w:hint="eastAsia" w:ascii="仿宋_GB2312" w:eastAsia="仿宋_GB2312"/>
                <w:kern w:val="0"/>
              </w:rPr>
              <w:t>任务4：做好基层服务平台考核工作、规范培训机构管理、促进重点群体稳岗就业</w:t>
            </w:r>
          </w:p>
          <w:p>
            <w:pPr>
              <w:spacing w:line="240" w:lineRule="auto"/>
              <w:ind w:firstLine="420"/>
              <w:jc w:val="left"/>
              <w:rPr>
                <w:rFonts w:ascii="仿宋_GB2312" w:eastAsia="仿宋_GB2312"/>
                <w:kern w:val="0"/>
              </w:rPr>
            </w:pPr>
            <w:r>
              <w:rPr>
                <w:rFonts w:hint="eastAsia" w:ascii="仿宋_GB2312" w:eastAsia="仿宋_GB2312"/>
                <w:kern w:val="0"/>
              </w:rPr>
              <w:t>任务5：着力创建充分就业社区（村)工作</w:t>
            </w:r>
          </w:p>
        </w:tc>
        <w:tc>
          <w:tcPr>
            <w:tcW w:w="4260" w:type="dxa"/>
            <w:gridSpan w:val="4"/>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按时按量完成</w:t>
            </w: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074" w:type="dxa"/>
            <w:vMerge w:val="restart"/>
            <w:textDirection w:val="tbRlV"/>
            <w:vAlign w:val="center"/>
          </w:tcPr>
          <w:p>
            <w:pPr>
              <w:spacing w:line="240" w:lineRule="auto"/>
              <w:ind w:firstLine="420"/>
              <w:jc w:val="left"/>
              <w:rPr>
                <w:rFonts w:ascii="仿宋_GB2312" w:eastAsia="仿宋_GB2312"/>
                <w:kern w:val="0"/>
              </w:rPr>
            </w:pPr>
          </w:p>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left"/>
              <w:rPr>
                <w:rFonts w:ascii="仿宋_GB2312" w:eastAsia="仿宋_GB2312"/>
                <w:kern w:val="0"/>
              </w:rPr>
            </w:pPr>
          </w:p>
          <w:p>
            <w:pPr>
              <w:spacing w:line="240" w:lineRule="auto"/>
              <w:ind w:firstLine="420"/>
              <w:jc w:val="left"/>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1074" w:type="dxa"/>
            <w:vMerge w:val="continue"/>
            <w:textDirection w:val="tbRlV"/>
            <w:vAlign w:val="center"/>
          </w:tcPr>
          <w:p>
            <w:pPr>
              <w:spacing w:line="240" w:lineRule="auto"/>
              <w:ind w:firstLine="420"/>
              <w:jc w:val="left"/>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pPr>
              <w:spacing w:line="240" w:lineRule="auto"/>
              <w:jc w:val="center"/>
              <w:rPr>
                <w:rFonts w:ascii="仿宋_GB2312" w:eastAsia="仿宋_GB2312"/>
                <w:kern w:val="0"/>
              </w:rPr>
            </w:pPr>
            <w:r>
              <w:rPr>
                <w:rFonts w:hint="eastAsia" w:ascii="仿宋_GB2312" w:eastAsia="仿宋_GB2312"/>
                <w:kern w:val="0"/>
              </w:rPr>
              <w:t>新增城镇就业人数</w:t>
            </w: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8316</w:t>
            </w: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74" w:type="dxa"/>
            <w:vMerge w:val="continue"/>
            <w:textDirection w:val="tbRlV"/>
            <w:vAlign w:val="center"/>
          </w:tcPr>
          <w:p>
            <w:pPr>
              <w:spacing w:line="240" w:lineRule="auto"/>
              <w:ind w:firstLine="420"/>
              <w:jc w:val="left"/>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center"/>
              <w:rPr>
                <w:rFonts w:ascii="仿宋_GB2312" w:eastAsia="仿宋_GB2312"/>
                <w:kern w:val="0"/>
              </w:rPr>
            </w:pPr>
            <w:r>
              <w:rPr>
                <w:rFonts w:hint="eastAsia" w:ascii="仿宋_GB2312" w:eastAsia="仿宋_GB2312"/>
                <w:kern w:val="0"/>
              </w:rPr>
              <w:t>召开线上线下招聘会</w:t>
            </w: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14</w:t>
            </w: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74" w:type="dxa"/>
            <w:vMerge w:val="continue"/>
            <w:textDirection w:val="tbRlV"/>
            <w:vAlign w:val="center"/>
          </w:tcPr>
          <w:p>
            <w:pPr>
              <w:spacing w:line="240" w:lineRule="auto"/>
              <w:ind w:firstLine="420"/>
              <w:jc w:val="left"/>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完成失业保险基金征缴任务</w:t>
            </w:r>
          </w:p>
        </w:tc>
        <w:tc>
          <w:tcPr>
            <w:tcW w:w="1298" w:type="dxa"/>
            <w:vAlign w:val="center"/>
          </w:tcPr>
          <w:p>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100%</w:t>
            </w:r>
          </w:p>
        </w:tc>
        <w:tc>
          <w:tcPr>
            <w:tcW w:w="1269" w:type="dxa"/>
            <w:vAlign w:val="center"/>
          </w:tcPr>
          <w:p>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100%</w:t>
            </w: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1074" w:type="dxa"/>
            <w:vMerge w:val="continue"/>
            <w:textDirection w:val="tbRlV"/>
            <w:vAlign w:val="center"/>
          </w:tcPr>
          <w:p>
            <w:pPr>
              <w:spacing w:line="240" w:lineRule="auto"/>
              <w:ind w:firstLine="420"/>
              <w:jc w:val="left"/>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pPr>
              <w:spacing w:line="240" w:lineRule="auto"/>
              <w:jc w:val="center"/>
              <w:rPr>
                <w:rFonts w:ascii="仿宋_GB2312" w:eastAsia="仿宋_GB2312"/>
                <w:kern w:val="0"/>
              </w:rPr>
            </w:pPr>
            <w:r>
              <w:rPr>
                <w:rFonts w:hint="eastAsia" w:ascii="仿宋_GB2312" w:eastAsia="仿宋_GB2312"/>
                <w:kern w:val="0"/>
              </w:rPr>
              <w:t>按时足额发放失业保险待遇</w:t>
            </w:r>
          </w:p>
        </w:tc>
        <w:tc>
          <w:tcPr>
            <w:tcW w:w="1298" w:type="dxa"/>
            <w:vAlign w:val="center"/>
          </w:tcPr>
          <w:p>
            <w:pPr>
              <w:spacing w:line="240" w:lineRule="auto"/>
              <w:jc w:val="both"/>
              <w:rPr>
                <w:rFonts w:ascii="仿宋_GB2312" w:eastAsia="仿宋_GB2312"/>
                <w:kern w:val="0"/>
              </w:rPr>
            </w:pPr>
            <w:r>
              <w:rPr>
                <w:rFonts w:hint="eastAsia" w:ascii="仿宋_GB2312" w:eastAsia="仿宋_GB2312"/>
                <w:kern w:val="0"/>
                <w:lang w:val="en-US" w:eastAsia="zh-CN"/>
              </w:rPr>
              <w:t>100%</w:t>
            </w:r>
          </w:p>
        </w:tc>
        <w:tc>
          <w:tcPr>
            <w:tcW w:w="1269" w:type="dxa"/>
            <w:vAlign w:val="center"/>
          </w:tcPr>
          <w:p>
            <w:pPr>
              <w:spacing w:line="240" w:lineRule="auto"/>
              <w:jc w:val="both"/>
              <w:rPr>
                <w:rFonts w:ascii="仿宋_GB2312" w:eastAsia="仿宋_GB2312"/>
                <w:kern w:val="0"/>
              </w:rPr>
            </w:pPr>
            <w:r>
              <w:rPr>
                <w:rFonts w:hint="eastAsia" w:ascii="仿宋_GB2312" w:eastAsia="仿宋_GB2312"/>
                <w:kern w:val="0"/>
                <w:lang w:val="en-US" w:eastAsia="zh-CN"/>
              </w:rPr>
              <w:t>100%</w:t>
            </w: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1074" w:type="dxa"/>
            <w:vMerge w:val="continue"/>
            <w:textDirection w:val="tbRlV"/>
            <w:vAlign w:val="center"/>
          </w:tcPr>
          <w:p>
            <w:pPr>
              <w:spacing w:line="240" w:lineRule="auto"/>
              <w:ind w:firstLine="420"/>
              <w:jc w:val="left"/>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pPr>
              <w:spacing w:line="240" w:lineRule="auto"/>
              <w:jc w:val="center"/>
              <w:rPr>
                <w:rFonts w:ascii="仿宋_GB2312" w:eastAsia="仿宋_GB2312"/>
                <w:kern w:val="0"/>
              </w:rPr>
            </w:pPr>
            <w:r>
              <w:rPr>
                <w:rFonts w:hint="eastAsia" w:ascii="仿宋_GB2312" w:eastAsia="仿宋_GB2312"/>
                <w:kern w:val="0"/>
              </w:rPr>
              <w:t>推动了我市经济的进一步发展</w:t>
            </w:r>
          </w:p>
        </w:tc>
        <w:tc>
          <w:tcPr>
            <w:tcW w:w="1298" w:type="dxa"/>
            <w:vAlign w:val="center"/>
          </w:tcPr>
          <w:p>
            <w:pPr>
              <w:spacing w:line="240" w:lineRule="auto"/>
              <w:jc w:val="both"/>
              <w:rPr>
                <w:rFonts w:hint="eastAsia" w:ascii="仿宋_GB2312" w:eastAsia="仿宋_GB2312"/>
                <w:kern w:val="0"/>
                <w:lang w:eastAsia="zh-CN"/>
              </w:rPr>
            </w:pPr>
            <w:r>
              <w:rPr>
                <w:rFonts w:hint="eastAsia" w:ascii="仿宋_GB2312" w:eastAsia="仿宋_GB2312"/>
                <w:kern w:val="0"/>
                <w:lang w:eastAsia="zh-CN"/>
              </w:rPr>
              <w:t>效益显著</w:t>
            </w:r>
          </w:p>
        </w:tc>
        <w:tc>
          <w:tcPr>
            <w:tcW w:w="1269" w:type="dxa"/>
            <w:vAlign w:val="center"/>
          </w:tcPr>
          <w:p>
            <w:pPr>
              <w:spacing w:line="240" w:lineRule="auto"/>
              <w:jc w:val="both"/>
              <w:rPr>
                <w:rFonts w:ascii="仿宋_GB2312" w:eastAsia="仿宋_GB2312"/>
                <w:kern w:val="0"/>
              </w:rPr>
            </w:pPr>
            <w:r>
              <w:rPr>
                <w:rFonts w:hint="eastAsia" w:ascii="仿宋_GB2312" w:eastAsia="仿宋_GB2312"/>
                <w:kern w:val="0"/>
                <w:lang w:eastAsia="zh-CN"/>
              </w:rPr>
              <w:t>效益显著</w:t>
            </w: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1074" w:type="dxa"/>
            <w:vMerge w:val="continue"/>
            <w:textDirection w:val="tbRlV"/>
            <w:vAlign w:val="center"/>
          </w:tcPr>
          <w:p>
            <w:pPr>
              <w:spacing w:line="240" w:lineRule="auto"/>
              <w:ind w:firstLine="420"/>
              <w:jc w:val="left"/>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pPr>
              <w:spacing w:line="240" w:lineRule="auto"/>
              <w:jc w:val="center"/>
              <w:rPr>
                <w:rFonts w:ascii="仿宋_GB2312" w:eastAsia="仿宋_GB2312"/>
                <w:kern w:val="0"/>
              </w:rPr>
            </w:pPr>
            <w:r>
              <w:rPr>
                <w:rFonts w:hint="eastAsia" w:ascii="仿宋_GB2312" w:eastAsia="仿宋_GB2312"/>
                <w:kern w:val="0"/>
              </w:rPr>
              <w:t>帮助失业人员再就业、稳定社会发展</w:t>
            </w:r>
          </w:p>
        </w:tc>
        <w:tc>
          <w:tcPr>
            <w:tcW w:w="1298" w:type="dxa"/>
            <w:vAlign w:val="center"/>
          </w:tcPr>
          <w:p>
            <w:pPr>
              <w:spacing w:line="240" w:lineRule="auto"/>
              <w:jc w:val="both"/>
              <w:rPr>
                <w:rFonts w:ascii="仿宋_GB2312" w:eastAsia="仿宋_GB2312"/>
                <w:kern w:val="0"/>
              </w:rPr>
            </w:pPr>
            <w:r>
              <w:rPr>
                <w:rFonts w:hint="eastAsia" w:ascii="仿宋_GB2312" w:eastAsia="仿宋_GB2312"/>
                <w:kern w:val="0"/>
                <w:lang w:eastAsia="zh-CN"/>
              </w:rPr>
              <w:t>效益显著</w:t>
            </w:r>
          </w:p>
        </w:tc>
        <w:tc>
          <w:tcPr>
            <w:tcW w:w="1269" w:type="dxa"/>
            <w:vAlign w:val="center"/>
          </w:tcPr>
          <w:p>
            <w:pPr>
              <w:spacing w:line="240" w:lineRule="auto"/>
              <w:jc w:val="both"/>
              <w:rPr>
                <w:rFonts w:ascii="仿宋_GB2312" w:eastAsia="仿宋_GB2312"/>
                <w:kern w:val="0"/>
              </w:rPr>
            </w:pPr>
            <w:r>
              <w:rPr>
                <w:rFonts w:hint="eastAsia" w:ascii="仿宋_GB2312" w:eastAsia="仿宋_GB2312"/>
                <w:kern w:val="0"/>
                <w:lang w:eastAsia="zh-CN"/>
              </w:rPr>
              <w:t>效益显著</w:t>
            </w: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074" w:type="dxa"/>
            <w:vMerge w:val="continue"/>
            <w:textDirection w:val="tbRlV"/>
            <w:vAlign w:val="center"/>
          </w:tcPr>
          <w:p>
            <w:pPr>
              <w:spacing w:line="240" w:lineRule="auto"/>
              <w:ind w:firstLine="420"/>
              <w:jc w:val="left"/>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pPr>
              <w:spacing w:line="240" w:lineRule="auto"/>
              <w:jc w:val="center"/>
              <w:rPr>
                <w:rFonts w:ascii="仿宋_GB2312" w:eastAsia="仿宋_GB2312"/>
                <w:kern w:val="0"/>
              </w:rPr>
            </w:pPr>
            <w:r>
              <w:rPr>
                <w:rFonts w:hint="eastAsia" w:ascii="仿宋_GB2312" w:eastAsia="仿宋_GB2312"/>
                <w:kern w:val="0"/>
              </w:rPr>
              <w:t>生态环境改变状况</w:t>
            </w:r>
          </w:p>
        </w:tc>
        <w:tc>
          <w:tcPr>
            <w:tcW w:w="1298" w:type="dxa"/>
            <w:vAlign w:val="center"/>
          </w:tcPr>
          <w:p>
            <w:pPr>
              <w:spacing w:line="240" w:lineRule="auto"/>
              <w:jc w:val="both"/>
              <w:rPr>
                <w:rFonts w:ascii="仿宋_GB2312" w:eastAsia="仿宋_GB2312"/>
                <w:kern w:val="0"/>
              </w:rPr>
            </w:pPr>
            <w:r>
              <w:rPr>
                <w:rFonts w:hint="eastAsia" w:ascii="仿宋_GB2312" w:eastAsia="仿宋_GB2312"/>
                <w:kern w:val="0"/>
              </w:rPr>
              <w:t>有所改善</w:t>
            </w:r>
          </w:p>
        </w:tc>
        <w:tc>
          <w:tcPr>
            <w:tcW w:w="1269" w:type="dxa"/>
            <w:vAlign w:val="center"/>
          </w:tcPr>
          <w:p>
            <w:pPr>
              <w:spacing w:line="240" w:lineRule="auto"/>
              <w:jc w:val="both"/>
              <w:rPr>
                <w:rFonts w:ascii="仿宋_GB2312" w:eastAsia="仿宋_GB2312"/>
                <w:kern w:val="0"/>
              </w:rPr>
            </w:pPr>
            <w:r>
              <w:rPr>
                <w:rFonts w:hint="eastAsia" w:ascii="仿宋_GB2312" w:eastAsia="仿宋_GB2312"/>
                <w:kern w:val="0"/>
              </w:rPr>
              <w:t>有所改善</w:t>
            </w: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jc w:val="center"/>
        </w:trPr>
        <w:tc>
          <w:tcPr>
            <w:tcW w:w="1074" w:type="dxa"/>
            <w:vMerge w:val="continue"/>
            <w:textDirection w:val="tbRlV"/>
            <w:vAlign w:val="center"/>
          </w:tcPr>
          <w:p>
            <w:pPr>
              <w:spacing w:line="240" w:lineRule="auto"/>
              <w:ind w:firstLine="420"/>
              <w:jc w:val="left"/>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pPr>
              <w:spacing w:line="240" w:lineRule="auto"/>
              <w:jc w:val="both"/>
              <w:rPr>
                <w:rFonts w:ascii="仿宋_GB2312" w:eastAsia="仿宋_GB2312"/>
                <w:kern w:val="0"/>
              </w:rPr>
            </w:pPr>
            <w:r>
              <w:rPr>
                <w:rFonts w:hint="eastAsia" w:ascii="仿宋_GB2312" w:eastAsia="仿宋_GB2312"/>
                <w:kern w:val="0"/>
              </w:rPr>
              <w:t>社会保险制度更加公平可持续</w:t>
            </w:r>
          </w:p>
        </w:tc>
        <w:tc>
          <w:tcPr>
            <w:tcW w:w="1298" w:type="dxa"/>
            <w:vAlign w:val="center"/>
          </w:tcPr>
          <w:p>
            <w:pPr>
              <w:spacing w:line="240" w:lineRule="auto"/>
              <w:jc w:val="both"/>
              <w:rPr>
                <w:rFonts w:hint="eastAsia" w:ascii="仿宋_GB2312" w:eastAsia="仿宋_GB2312"/>
                <w:kern w:val="0"/>
                <w:lang w:eastAsia="zh-CN"/>
              </w:rPr>
            </w:pPr>
            <w:r>
              <w:rPr>
                <w:rFonts w:hint="eastAsia" w:ascii="仿宋_GB2312" w:eastAsia="仿宋_GB2312"/>
                <w:kern w:val="0"/>
                <w:lang w:eastAsia="zh-CN"/>
              </w:rPr>
              <w:t>效益显著</w:t>
            </w:r>
          </w:p>
        </w:tc>
        <w:tc>
          <w:tcPr>
            <w:tcW w:w="1269" w:type="dxa"/>
            <w:vAlign w:val="center"/>
          </w:tcPr>
          <w:p>
            <w:pPr>
              <w:spacing w:line="240" w:lineRule="auto"/>
              <w:jc w:val="both"/>
              <w:rPr>
                <w:rFonts w:ascii="仿宋_GB2312" w:eastAsia="仿宋_GB2312"/>
                <w:kern w:val="0"/>
              </w:rPr>
            </w:pPr>
            <w:r>
              <w:rPr>
                <w:rFonts w:hint="eastAsia" w:ascii="仿宋_GB2312" w:eastAsia="仿宋_GB2312"/>
                <w:kern w:val="0"/>
                <w:lang w:eastAsia="zh-CN"/>
              </w:rPr>
              <w:t>效益显著</w:t>
            </w: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jc w:val="center"/>
        </w:trPr>
        <w:tc>
          <w:tcPr>
            <w:tcW w:w="1074" w:type="dxa"/>
            <w:vMerge w:val="continue"/>
            <w:textDirection w:val="tbRlV"/>
            <w:vAlign w:val="center"/>
          </w:tcPr>
          <w:p>
            <w:pPr>
              <w:spacing w:line="240" w:lineRule="auto"/>
              <w:ind w:firstLine="420"/>
              <w:jc w:val="left"/>
              <w:rPr>
                <w:rFonts w:ascii="仿宋_GB2312" w:eastAsia="仿宋_GB2312"/>
                <w:kern w:val="0"/>
              </w:rPr>
            </w:pPr>
          </w:p>
        </w:tc>
        <w:tc>
          <w:tcPr>
            <w:tcW w:w="106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pPr>
              <w:spacing w:line="240" w:lineRule="auto"/>
              <w:jc w:val="both"/>
              <w:rPr>
                <w:rFonts w:ascii="仿宋_GB2312" w:eastAsia="仿宋_GB2312"/>
                <w:kern w:val="0"/>
              </w:rPr>
            </w:pPr>
            <w:r>
              <w:rPr>
                <w:rFonts w:hint="eastAsia" w:ascii="仿宋_GB2312" w:eastAsia="仿宋_GB2312"/>
                <w:kern w:val="0"/>
              </w:rPr>
              <w:t>社会公众对相关工作的满意度</w:t>
            </w:r>
          </w:p>
        </w:tc>
        <w:tc>
          <w:tcPr>
            <w:tcW w:w="1298" w:type="dxa"/>
            <w:vAlign w:val="center"/>
          </w:tcPr>
          <w:p>
            <w:pPr>
              <w:spacing w:line="240" w:lineRule="auto"/>
              <w:jc w:val="both"/>
              <w:rPr>
                <w:rFonts w:hint="default" w:ascii="仿宋_GB2312" w:eastAsia="仿宋_GB2312"/>
                <w:kern w:val="0"/>
                <w:lang w:val="en-US" w:eastAsia="zh-CN"/>
              </w:rPr>
            </w:pPr>
            <w:r>
              <w:rPr>
                <w:rFonts w:hint="eastAsia" w:ascii="仿宋_GB2312" w:eastAsia="仿宋_GB2312"/>
                <w:kern w:val="0"/>
                <w:lang w:eastAsia="zh-CN"/>
              </w:rPr>
              <w:t>≥</w:t>
            </w:r>
            <w:r>
              <w:rPr>
                <w:rFonts w:hint="eastAsia" w:ascii="仿宋_GB2312" w:eastAsia="仿宋_GB2312"/>
                <w:kern w:val="0"/>
                <w:lang w:val="en-US" w:eastAsia="zh-CN"/>
              </w:rPr>
              <w:t>95%</w:t>
            </w:r>
          </w:p>
        </w:tc>
        <w:tc>
          <w:tcPr>
            <w:tcW w:w="1269" w:type="dxa"/>
            <w:vAlign w:val="center"/>
          </w:tcPr>
          <w:p>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100%</w:t>
            </w: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jc w:val="center"/>
        </w:trPr>
        <w:tc>
          <w:tcPr>
            <w:tcW w:w="1074" w:type="dxa"/>
            <w:vMerge w:val="continue"/>
            <w:textDirection w:val="tbRlV"/>
            <w:vAlign w:val="center"/>
          </w:tcPr>
          <w:p>
            <w:pPr>
              <w:spacing w:line="240" w:lineRule="auto"/>
              <w:ind w:firstLine="420"/>
              <w:jc w:val="left"/>
              <w:rPr>
                <w:rFonts w:ascii="仿宋_GB2312" w:eastAsia="仿宋_GB2312"/>
                <w:kern w:val="0"/>
              </w:rPr>
            </w:pPr>
          </w:p>
        </w:tc>
        <w:tc>
          <w:tcPr>
            <w:tcW w:w="106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pPr>
              <w:spacing w:line="240" w:lineRule="auto"/>
              <w:jc w:val="both"/>
              <w:rPr>
                <w:rFonts w:ascii="仿宋_GB2312" w:eastAsia="仿宋_GB2312"/>
                <w:kern w:val="0"/>
              </w:rPr>
            </w:pPr>
            <w:r>
              <w:rPr>
                <w:rFonts w:hint="eastAsia" w:ascii="仿宋_GB2312" w:eastAsia="仿宋_GB2312"/>
                <w:kern w:val="0"/>
              </w:rPr>
              <w:t>预算批复金额</w:t>
            </w:r>
          </w:p>
        </w:tc>
        <w:tc>
          <w:tcPr>
            <w:tcW w:w="1298" w:type="dxa"/>
            <w:vAlign w:val="center"/>
          </w:tcPr>
          <w:p>
            <w:pPr>
              <w:spacing w:line="240" w:lineRule="auto"/>
              <w:jc w:val="both"/>
              <w:rPr>
                <w:rFonts w:ascii="仿宋_GB2312" w:eastAsia="仿宋_GB2312"/>
                <w:kern w:val="0"/>
              </w:rPr>
            </w:pPr>
            <w:r>
              <w:rPr>
                <w:rFonts w:hint="eastAsia" w:ascii="仿宋_GB2312" w:eastAsia="仿宋_GB2312"/>
                <w:kern w:val="0"/>
              </w:rPr>
              <w:t>预算批复金额</w:t>
            </w:r>
          </w:p>
        </w:tc>
        <w:tc>
          <w:tcPr>
            <w:tcW w:w="1269" w:type="dxa"/>
            <w:vAlign w:val="center"/>
          </w:tcPr>
          <w:p>
            <w:pPr>
              <w:spacing w:line="240" w:lineRule="auto"/>
              <w:jc w:val="both"/>
              <w:rPr>
                <w:rFonts w:hint="eastAsia" w:ascii="仿宋_GB2312" w:eastAsia="仿宋_GB2312"/>
                <w:kern w:val="0"/>
                <w:lang w:eastAsia="zh-CN"/>
              </w:rPr>
            </w:pPr>
            <w:r>
              <w:rPr>
                <w:rFonts w:hint="eastAsia" w:ascii="仿宋_GB2312" w:eastAsia="仿宋_GB2312"/>
                <w:kern w:val="0"/>
                <w:lang w:eastAsia="zh-CN"/>
              </w:rPr>
              <w:t>按时完成</w:t>
            </w: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jc w:val="center"/>
        </w:trPr>
        <w:tc>
          <w:tcPr>
            <w:tcW w:w="1074" w:type="dxa"/>
            <w:vMerge w:val="continue"/>
            <w:textDirection w:val="tbRlV"/>
            <w:vAlign w:val="center"/>
          </w:tcPr>
          <w:p>
            <w:pPr>
              <w:spacing w:line="240" w:lineRule="auto"/>
              <w:ind w:firstLine="420"/>
              <w:jc w:val="left"/>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pPr>
              <w:spacing w:line="240" w:lineRule="auto"/>
              <w:jc w:val="both"/>
              <w:rPr>
                <w:rFonts w:ascii="仿宋_GB2312" w:eastAsia="仿宋_GB2312"/>
                <w:kern w:val="0"/>
              </w:rPr>
            </w:pPr>
            <w:r>
              <w:rPr>
                <w:rFonts w:hint="eastAsia" w:ascii="仿宋_GB2312" w:eastAsia="仿宋_GB2312"/>
                <w:kern w:val="0"/>
              </w:rPr>
              <w:t>对社会发展可能造成负面影响</w:t>
            </w:r>
          </w:p>
        </w:tc>
        <w:tc>
          <w:tcPr>
            <w:tcW w:w="1298" w:type="dxa"/>
            <w:vAlign w:val="center"/>
          </w:tcPr>
          <w:p>
            <w:pPr>
              <w:spacing w:line="240" w:lineRule="auto"/>
              <w:jc w:val="both"/>
              <w:rPr>
                <w:rFonts w:ascii="仿宋_GB2312" w:eastAsia="仿宋_GB2312"/>
                <w:kern w:val="0"/>
              </w:rPr>
            </w:pPr>
            <w:r>
              <w:rPr>
                <w:rFonts w:hint="eastAsia" w:ascii="仿宋_GB2312" w:eastAsia="仿宋_GB2312"/>
                <w:kern w:val="0"/>
              </w:rPr>
              <w:t>无负面影响</w:t>
            </w:r>
          </w:p>
        </w:tc>
        <w:tc>
          <w:tcPr>
            <w:tcW w:w="1269" w:type="dxa"/>
            <w:vAlign w:val="center"/>
          </w:tcPr>
          <w:p>
            <w:pPr>
              <w:spacing w:line="240" w:lineRule="auto"/>
              <w:jc w:val="both"/>
              <w:rPr>
                <w:rFonts w:ascii="仿宋_GB2312" w:eastAsia="仿宋_GB2312"/>
                <w:kern w:val="0"/>
              </w:rPr>
            </w:pPr>
            <w:r>
              <w:rPr>
                <w:rFonts w:hint="eastAsia" w:ascii="仿宋_GB2312" w:eastAsia="仿宋_GB2312"/>
                <w:kern w:val="0"/>
              </w:rPr>
              <w:t>无负面影响</w:t>
            </w: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jc w:val="center"/>
        </w:trPr>
        <w:tc>
          <w:tcPr>
            <w:tcW w:w="1074" w:type="dxa"/>
            <w:vMerge w:val="continue"/>
            <w:textDirection w:val="tbRlV"/>
            <w:vAlign w:val="center"/>
          </w:tcPr>
          <w:p>
            <w:pPr>
              <w:spacing w:line="240" w:lineRule="auto"/>
              <w:ind w:firstLine="420"/>
              <w:jc w:val="left"/>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pPr>
              <w:spacing w:line="240" w:lineRule="auto"/>
              <w:jc w:val="both"/>
              <w:rPr>
                <w:rFonts w:ascii="仿宋_GB2312" w:eastAsia="仿宋_GB2312"/>
                <w:kern w:val="0"/>
              </w:rPr>
            </w:pPr>
            <w:r>
              <w:rPr>
                <w:rFonts w:hint="eastAsia" w:ascii="仿宋_GB2312" w:eastAsia="仿宋_GB2312"/>
                <w:kern w:val="0"/>
              </w:rPr>
              <w:t>对自然生态环境造成的负面影响</w:t>
            </w:r>
          </w:p>
        </w:tc>
        <w:tc>
          <w:tcPr>
            <w:tcW w:w="1298" w:type="dxa"/>
            <w:vAlign w:val="center"/>
          </w:tcPr>
          <w:p>
            <w:pPr>
              <w:spacing w:line="240" w:lineRule="auto"/>
              <w:jc w:val="both"/>
              <w:rPr>
                <w:rFonts w:ascii="仿宋_GB2312" w:eastAsia="仿宋_GB2312"/>
                <w:kern w:val="0"/>
              </w:rPr>
            </w:pPr>
            <w:r>
              <w:rPr>
                <w:rFonts w:hint="eastAsia" w:ascii="仿宋_GB2312" w:eastAsia="仿宋_GB2312"/>
                <w:kern w:val="0"/>
              </w:rPr>
              <w:t>无负面影响</w:t>
            </w:r>
          </w:p>
        </w:tc>
        <w:tc>
          <w:tcPr>
            <w:tcW w:w="1269" w:type="dxa"/>
            <w:vAlign w:val="center"/>
          </w:tcPr>
          <w:p>
            <w:pPr>
              <w:spacing w:line="240" w:lineRule="auto"/>
              <w:jc w:val="both"/>
              <w:rPr>
                <w:rFonts w:ascii="仿宋_GB2312" w:eastAsia="仿宋_GB2312"/>
                <w:kern w:val="0"/>
              </w:rPr>
            </w:pPr>
            <w:r>
              <w:rPr>
                <w:rFonts w:hint="eastAsia" w:ascii="仿宋_GB2312" w:eastAsia="仿宋_GB2312"/>
                <w:kern w:val="0"/>
              </w:rPr>
              <w:t>无负面影响</w:t>
            </w: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复退军人生活补助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汨罗市人力资源和社会保障局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汨罗市就业服务中心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34.59</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34.59</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34.59</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34.59</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34.59</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34.59</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both"/>
              <w:rPr>
                <w:rFonts w:ascii="仿宋_GB2312" w:hAnsi="宋体" w:eastAsia="仿宋_GB2312" w:cs="宋体"/>
                <w:kern w:val="0"/>
                <w:lang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rPr>
              <w:t>有利维护劳动关系和谐稳定</w:t>
            </w:r>
            <w:r>
              <w:rPr>
                <w:rFonts w:hint="eastAsia" w:ascii="仿宋_GB2312" w:hAnsi="宋体" w:eastAsia="仿宋_GB2312" w:cs="宋体"/>
                <w:kern w:val="0"/>
                <w:lang w:eastAsia="zh-CN"/>
              </w:rPr>
              <w:t>，指导各地进一步健全劳动体制机制</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有利维护劳动关系和谐稳定</w:t>
            </w:r>
            <w:r>
              <w:rPr>
                <w:rFonts w:hint="eastAsia" w:ascii="仿宋_GB2312" w:hAnsi="宋体" w:eastAsia="仿宋_GB2312" w:cs="宋体"/>
                <w:kern w:val="0"/>
                <w:lang w:eastAsia="zh-CN"/>
              </w:rPr>
              <w:t>，指导各地进一步健全劳动体制机制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按时发放生活补助比例</w:t>
            </w:r>
          </w:p>
        </w:tc>
        <w:tc>
          <w:tcPr>
            <w:tcW w:w="109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指导各地进一步健全劳动体制机制</w:t>
            </w:r>
          </w:p>
        </w:tc>
        <w:tc>
          <w:tcPr>
            <w:tcW w:w="109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90%</w:t>
            </w:r>
          </w:p>
        </w:tc>
        <w:tc>
          <w:tcPr>
            <w:tcW w:w="1099" w:type="dxa"/>
            <w:vAlign w:val="center"/>
          </w:tcPr>
          <w:p>
            <w:pPr>
              <w:spacing w:line="240" w:lineRule="auto"/>
              <w:ind w:firstLine="420" w:firstLineChars="0"/>
              <w:jc w:val="both"/>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90%</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完成时间</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2022年12月31日前</w:t>
            </w:r>
          </w:p>
        </w:tc>
        <w:tc>
          <w:tcPr>
            <w:tcW w:w="1099" w:type="dxa"/>
            <w:vAlign w:val="center"/>
          </w:tcPr>
          <w:p>
            <w:pPr>
              <w:spacing w:line="240" w:lineRule="auto"/>
              <w:jc w:val="both"/>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2022年12月31日前</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促进经济发展</w:t>
            </w:r>
          </w:p>
        </w:tc>
        <w:tc>
          <w:tcPr>
            <w:tcW w:w="1099" w:type="dxa"/>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有所提升</w:t>
            </w:r>
          </w:p>
        </w:tc>
        <w:tc>
          <w:tcPr>
            <w:tcW w:w="1099" w:type="dxa"/>
            <w:vAlign w:val="center"/>
          </w:tcPr>
          <w:p>
            <w:pPr>
              <w:spacing w:line="240" w:lineRule="auto"/>
              <w:jc w:val="both"/>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eastAsia="zh-CN"/>
              </w:rPr>
              <w:t>有所提升</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促进社会发展</w:t>
            </w:r>
          </w:p>
        </w:tc>
        <w:tc>
          <w:tcPr>
            <w:tcW w:w="1099" w:type="dxa"/>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有所改善</w:t>
            </w:r>
          </w:p>
        </w:tc>
        <w:tc>
          <w:tcPr>
            <w:tcW w:w="1099" w:type="dxa"/>
            <w:vAlign w:val="center"/>
          </w:tcPr>
          <w:p>
            <w:pPr>
              <w:spacing w:line="240" w:lineRule="auto"/>
              <w:jc w:val="both"/>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eastAsia="zh-CN"/>
              </w:rPr>
              <w:t>有所改善</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生态环境改善状况</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有所提升</w:t>
            </w:r>
          </w:p>
        </w:tc>
        <w:tc>
          <w:tcPr>
            <w:tcW w:w="1099"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有所提升</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促进生态可持续发展；促进经济可持续发展</w:t>
            </w:r>
          </w:p>
        </w:tc>
        <w:tc>
          <w:tcPr>
            <w:tcW w:w="1099" w:type="dxa"/>
            <w:vAlign w:val="center"/>
          </w:tcPr>
          <w:p>
            <w:pPr>
              <w:spacing w:line="240" w:lineRule="auto"/>
              <w:jc w:val="both"/>
              <w:rPr>
                <w:rFonts w:ascii="宋体" w:hAnsi="宋体" w:eastAsia="宋体" w:cs="宋体"/>
                <w:i w:val="0"/>
                <w:iCs w:val="0"/>
                <w:snapToGrid w:val="0"/>
                <w:color w:val="000000"/>
                <w:kern w:val="0"/>
                <w:sz w:val="14"/>
                <w:szCs w:val="14"/>
                <w:u w:val="none"/>
                <w:lang w:val="en-US" w:eastAsia="en-US" w:bidi="ar-SA"/>
              </w:rPr>
            </w:pPr>
            <w:r>
              <w:rPr>
                <w:rFonts w:hint="eastAsia" w:ascii="仿宋_GB2312" w:hAnsi="宋体" w:eastAsia="仿宋_GB2312" w:cs="宋体"/>
                <w:kern w:val="0"/>
                <w:lang w:eastAsia="zh-CN"/>
              </w:rPr>
              <w:t>发展可</w:t>
            </w:r>
            <w:r>
              <w:rPr>
                <w:rFonts w:hint="eastAsia" w:ascii="仿宋_GB2312" w:hAnsi="宋体" w:eastAsia="仿宋_GB2312" w:cs="宋体"/>
                <w:kern w:val="0"/>
                <w:lang w:val="en-US" w:eastAsia="zh-CN"/>
              </w:rPr>
              <w:t>持续</w:t>
            </w:r>
          </w:p>
        </w:tc>
        <w:tc>
          <w:tcPr>
            <w:tcW w:w="1099" w:type="dxa"/>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发展可持续</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受益对象满意度</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eastAsia="zh-CN"/>
              </w:rPr>
              <w:t>≥</w:t>
            </w:r>
            <w:r>
              <w:rPr>
                <w:rFonts w:hint="eastAsia" w:ascii="仿宋_GB2312" w:hAnsi="宋体" w:eastAsia="仿宋_GB2312" w:cs="宋体"/>
                <w:kern w:val="0"/>
                <w:lang w:val="en-US" w:eastAsia="zh-CN"/>
              </w:rPr>
              <w:t>95%</w:t>
            </w:r>
          </w:p>
        </w:tc>
        <w:tc>
          <w:tcPr>
            <w:tcW w:w="1099" w:type="dxa"/>
            <w:vAlign w:val="center"/>
          </w:tcPr>
          <w:p>
            <w:pPr>
              <w:spacing w:line="240" w:lineRule="auto"/>
              <w:ind w:firstLine="420"/>
              <w:jc w:val="both"/>
              <w:rPr>
                <w:rFonts w:ascii="仿宋_GB2312" w:hAnsi="宋体" w:eastAsia="仿宋_GB2312" w:cs="宋体"/>
                <w:kern w:val="0"/>
              </w:rPr>
            </w:pPr>
            <w:r>
              <w:rPr>
                <w:rFonts w:hint="eastAsia" w:ascii="仿宋_GB2312" w:hAnsi="宋体" w:eastAsia="仿宋_GB2312" w:cs="宋体"/>
                <w:kern w:val="0"/>
                <w:lang w:eastAsia="zh-CN"/>
              </w:rPr>
              <w:t>≥</w:t>
            </w:r>
            <w:r>
              <w:rPr>
                <w:rFonts w:hint="eastAsia" w:ascii="仿宋_GB2312" w:hAnsi="宋体" w:eastAsia="仿宋_GB2312" w:cs="宋体"/>
                <w:kern w:val="0"/>
                <w:lang w:val="en-US" w:eastAsia="zh-CN"/>
              </w:rPr>
              <w:t>95%</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足额发放生活补助比例</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both"/>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对社会发展可能造成的负面影响</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无负面影响</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无负面影响</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对自然生态环境造成的负面影响</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无负面影响</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无负面影响</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eastAsia="zh-CN"/>
        </w:rPr>
        <w:t>汨罗市就业服务中心</w:t>
      </w:r>
      <w:r>
        <w:rPr>
          <w:rFonts w:hint="eastAsia" w:ascii="方正小标宋简体" w:hAnsi="宋体" w:eastAsia="方正小标宋简体" w:cs="宋体"/>
          <w:kern w:val="0"/>
          <w:sz w:val="44"/>
          <w:szCs w:val="44"/>
          <w:lang w:eastAsia="zh-CN"/>
        </w:rPr>
        <w:t>整体支出</w:t>
      </w:r>
    </w:p>
    <w:p>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5"/>
            <w:ind w:firstLine="360"/>
            <w:jc w:val="left"/>
            <w:rPr>
              <w:rFonts w:asciiTheme="minorEastAsia" w:hAnsiTheme="minorEastAsia" w:eastAsiaTheme="minorEastAsia"/>
              <w:kern w:val="0"/>
              <w:lang w:eastAsia="zh-CN"/>
            </w:rPr>
          </w:pPr>
        </w:p>
      </w:sdtContent>
    </w:sdt>
    <w:p>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年度</w:t>
      </w:r>
      <w:r>
        <w:rPr>
          <w:rFonts w:hint="eastAsia" w:ascii="黑体" w:hAnsi="黑体" w:eastAsia="黑体" w:cs="黑体"/>
          <w:spacing w:val="16"/>
          <w:sz w:val="40"/>
          <w:szCs w:val="40"/>
          <w:lang w:eastAsia="zh-CN"/>
        </w:rPr>
        <w:t>汨罗市就业服务中心</w:t>
      </w:r>
      <w:r>
        <w:rPr>
          <w:rFonts w:ascii="黑体" w:hAnsi="黑体" w:eastAsia="黑体" w:cs="黑体"/>
          <w:spacing w:val="16"/>
          <w:sz w:val="40"/>
          <w:szCs w:val="40"/>
        </w:rPr>
        <w:t>部门</w:t>
      </w:r>
    </w:p>
    <w:p>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numPr>
          <w:ilvl w:val="0"/>
          <w:numId w:val="1"/>
        </w:num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numPr>
          <w:ilvl w:val="0"/>
          <w:numId w:val="2"/>
        </w:num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 xml:space="preserve">部门（单位）基本情况                                   </w:t>
      </w:r>
    </w:p>
    <w:p>
      <w:pPr>
        <w:numPr>
          <w:ilvl w:val="0"/>
          <w:numId w:val="0"/>
        </w:num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 xml:space="preserve"> 汨罗市就业服务中心属副科级全额拨款事业单位，在编人数</w:t>
      </w:r>
      <w:r>
        <w:rPr>
          <w:rFonts w:hint="eastAsia" w:eastAsia="仿宋_GB2312"/>
          <w:kern w:val="0"/>
          <w:sz w:val="32"/>
          <w:szCs w:val="32"/>
          <w:lang w:val="en-US" w:eastAsia="zh-CN"/>
        </w:rPr>
        <w:t>28</w:t>
      </w:r>
      <w:r>
        <w:rPr>
          <w:rFonts w:hint="eastAsia" w:eastAsia="仿宋_GB2312"/>
          <w:kern w:val="0"/>
          <w:sz w:val="32"/>
          <w:szCs w:val="32"/>
          <w:lang w:eastAsia="zh-CN"/>
        </w:rPr>
        <w:t>人。现有9个内设科室，分别是办公室、财务室、农村股、城社股、失业保险股、培训股、统计股、创贷中心、党建室。</w:t>
      </w:r>
    </w:p>
    <w:p>
      <w:pPr>
        <w:numPr>
          <w:ilvl w:val="0"/>
          <w:numId w:val="2"/>
        </w:numPr>
        <w:spacing w:line="600" w:lineRule="exact"/>
        <w:ind w:left="0" w:leftChars="0" w:firstLine="640" w:firstLineChars="200"/>
        <w:jc w:val="both"/>
        <w:rPr>
          <w:rFonts w:hint="eastAsia" w:eastAsia="仿宋_GB2312"/>
          <w:kern w:val="0"/>
          <w:sz w:val="32"/>
          <w:szCs w:val="32"/>
          <w:lang w:eastAsia="zh-CN"/>
        </w:rPr>
      </w:pPr>
      <w:r>
        <w:rPr>
          <w:rFonts w:hint="eastAsia" w:eastAsia="仿宋_GB2312"/>
          <w:kern w:val="0"/>
          <w:sz w:val="32"/>
          <w:szCs w:val="32"/>
          <w:lang w:eastAsia="zh-CN"/>
        </w:rPr>
        <w:t>部门（单位）整体支出规模、使用方向和主要内容、涉及范围等</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eastAsia="zh-CN"/>
        </w:rPr>
        <w:t>2022年市汨罗市就业服务中心整体支出3193.19万元，基本支出346.83万元，其中人员经费268.26万元，主要用于人员工资及社保公积金缴纳等；日常公用经费78.57万元，主要用于日常办公开支。项目支出2846.36万元，主要用于各机构上级转移支付资金。</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11"/>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pStyle w:val="11"/>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基本支出346.83万元，其中：人员经费268.26万元，主要用于人员工资及社保公积金缴纳等；日常公用经费78.57万元，主要用于日常办公开支。202</w:t>
      </w:r>
      <w:r>
        <w:rPr>
          <w:rFonts w:hint="eastAsia" w:ascii="Times New Roman" w:hAnsi="Times New Roman" w:eastAsia="仿宋_GB2312"/>
          <w:kern w:val="0"/>
          <w:sz w:val="32"/>
          <w:szCs w:val="32"/>
          <w:lang w:val="en-US" w:eastAsia="zh-CN"/>
        </w:rPr>
        <w:t>2</w:t>
      </w:r>
      <w:r>
        <w:rPr>
          <w:rFonts w:hint="eastAsia" w:ascii="Times New Roman" w:hAnsi="Times New Roman" w:eastAsia="仿宋_GB2312"/>
          <w:kern w:val="0"/>
          <w:sz w:val="32"/>
          <w:szCs w:val="32"/>
          <w:lang w:eastAsia="zh-CN"/>
        </w:rPr>
        <w:t>年汨罗市就业服务中心一般公共预算财政拨款“三公”经费支出年初预算为6.</w:t>
      </w:r>
      <w:r>
        <w:rPr>
          <w:rFonts w:hint="eastAsia" w:ascii="Times New Roman" w:hAnsi="Times New Roman" w:eastAsia="仿宋_GB2312"/>
          <w:kern w:val="0"/>
          <w:sz w:val="32"/>
          <w:szCs w:val="32"/>
          <w:lang w:val="en-US" w:eastAsia="zh-CN"/>
        </w:rPr>
        <w:t>2</w:t>
      </w:r>
      <w:r>
        <w:rPr>
          <w:rFonts w:hint="eastAsia" w:ascii="Times New Roman" w:hAnsi="Times New Roman" w:eastAsia="仿宋_GB2312"/>
          <w:kern w:val="0"/>
          <w:sz w:val="32"/>
          <w:szCs w:val="32"/>
          <w:lang w:eastAsia="zh-CN"/>
        </w:rPr>
        <w:t>万元，决算支出为3.6</w:t>
      </w:r>
      <w:r>
        <w:rPr>
          <w:rFonts w:hint="eastAsia" w:ascii="Times New Roman" w:hAnsi="Times New Roman" w:eastAsia="仿宋_GB2312"/>
          <w:kern w:val="0"/>
          <w:sz w:val="32"/>
          <w:szCs w:val="32"/>
          <w:lang w:val="en-US" w:eastAsia="zh-CN"/>
        </w:rPr>
        <w:t>4</w:t>
      </w:r>
      <w:r>
        <w:rPr>
          <w:rFonts w:hint="eastAsia" w:ascii="Times New Roman" w:hAnsi="Times New Roman" w:eastAsia="仿宋_GB2312"/>
          <w:kern w:val="0"/>
          <w:sz w:val="32"/>
          <w:szCs w:val="32"/>
          <w:lang w:eastAsia="zh-CN"/>
        </w:rPr>
        <w:t>万元。其中：公务接待费3.</w:t>
      </w:r>
      <w:r>
        <w:rPr>
          <w:rFonts w:hint="eastAsia" w:ascii="Times New Roman" w:hAnsi="Times New Roman" w:eastAsia="仿宋_GB2312"/>
          <w:kern w:val="0"/>
          <w:sz w:val="32"/>
          <w:szCs w:val="32"/>
          <w:lang w:val="en-US" w:eastAsia="zh-CN"/>
        </w:rPr>
        <w:t>64</w:t>
      </w:r>
      <w:r>
        <w:rPr>
          <w:rFonts w:hint="eastAsia" w:ascii="Times New Roman" w:hAnsi="Times New Roman" w:eastAsia="仿宋_GB2312"/>
          <w:kern w:val="0"/>
          <w:sz w:val="32"/>
          <w:szCs w:val="32"/>
          <w:lang w:eastAsia="zh-CN"/>
        </w:rPr>
        <w:t>万元，无因公出国费，无公务用车购置费。公务用车保有量0辆。</w:t>
      </w:r>
    </w:p>
    <w:p>
      <w:pPr>
        <w:pStyle w:val="11"/>
        <w:spacing w:line="600" w:lineRule="exact"/>
        <w:ind w:firstLine="643"/>
        <w:jc w:val="both"/>
        <w:rPr>
          <w:rFonts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（二）</w:t>
      </w:r>
      <w:r>
        <w:rPr>
          <w:rFonts w:hint="eastAsia" w:ascii="Times New Roman" w:hAnsi="Times New Roman" w:eastAsia="仿宋_GB2312"/>
          <w:kern w:val="0"/>
          <w:sz w:val="32"/>
          <w:szCs w:val="32"/>
          <w:lang w:eastAsia="zh-CN"/>
        </w:rPr>
        <w:t>项目支出情况</w:t>
      </w:r>
    </w:p>
    <w:p>
      <w:pPr>
        <w:pStyle w:val="11"/>
        <w:numPr>
          <w:ilvl w:val="0"/>
          <w:numId w:val="0"/>
        </w:numPr>
        <w:spacing w:line="600" w:lineRule="exact"/>
        <w:ind w:leftChars="200" w:firstLine="320" w:firstLineChars="1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1、专项资金安排落实、总投入等情况分析</w:t>
      </w:r>
    </w:p>
    <w:p>
      <w:pPr>
        <w:pStyle w:val="11"/>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202</w:t>
      </w:r>
      <w:r>
        <w:rPr>
          <w:rFonts w:hint="eastAsia" w:ascii="Times New Roman" w:hAnsi="Times New Roman" w:eastAsia="仿宋_GB2312"/>
          <w:kern w:val="0"/>
          <w:sz w:val="32"/>
          <w:szCs w:val="32"/>
          <w:lang w:val="en-US" w:eastAsia="zh-CN"/>
        </w:rPr>
        <w:t>2</w:t>
      </w:r>
      <w:r>
        <w:rPr>
          <w:rFonts w:hint="eastAsia" w:ascii="Times New Roman" w:hAnsi="Times New Roman" w:eastAsia="仿宋_GB2312"/>
          <w:kern w:val="0"/>
          <w:sz w:val="32"/>
          <w:szCs w:val="32"/>
          <w:lang w:eastAsia="zh-CN"/>
        </w:rPr>
        <w:t>年专项资金由中央、省、市财政共同筹集，共投入</w:t>
      </w:r>
      <w:r>
        <w:rPr>
          <w:rFonts w:hint="eastAsia" w:ascii="Times New Roman" w:hAnsi="Times New Roman" w:eastAsia="仿宋_GB2312"/>
          <w:kern w:val="0"/>
          <w:sz w:val="32"/>
          <w:szCs w:val="32"/>
          <w:lang w:val="en-US" w:eastAsia="zh-CN"/>
        </w:rPr>
        <w:t>2846.36</w:t>
      </w:r>
      <w:r>
        <w:rPr>
          <w:rFonts w:hint="eastAsia" w:ascii="Times New Roman" w:hAnsi="Times New Roman" w:eastAsia="仿宋_GB2312"/>
          <w:kern w:val="0"/>
          <w:sz w:val="32"/>
          <w:szCs w:val="32"/>
          <w:lang w:eastAsia="zh-CN"/>
        </w:rPr>
        <w:t>万元，其中年初预算安排</w:t>
      </w:r>
      <w:r>
        <w:rPr>
          <w:rFonts w:hint="eastAsia" w:ascii="Times New Roman" w:hAnsi="Times New Roman" w:eastAsia="仿宋_GB2312"/>
          <w:kern w:val="0"/>
          <w:sz w:val="32"/>
          <w:szCs w:val="32"/>
          <w:lang w:val="en-US" w:eastAsia="zh-CN"/>
        </w:rPr>
        <w:t>54.59</w:t>
      </w:r>
      <w:r>
        <w:rPr>
          <w:rFonts w:hint="eastAsia" w:ascii="Times New Roman" w:hAnsi="Times New Roman" w:eastAsia="仿宋_GB2312"/>
          <w:kern w:val="0"/>
          <w:sz w:val="32"/>
          <w:szCs w:val="32"/>
          <w:lang w:eastAsia="zh-CN"/>
        </w:rPr>
        <w:t>万元，都已按时下拨到位。</w:t>
      </w:r>
    </w:p>
    <w:p>
      <w:pPr>
        <w:pStyle w:val="11"/>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2、专项资金实际使用情况分析</w:t>
      </w:r>
    </w:p>
    <w:p>
      <w:pPr>
        <w:pStyle w:val="11"/>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202</w:t>
      </w:r>
      <w:r>
        <w:rPr>
          <w:rFonts w:hint="eastAsia" w:ascii="Times New Roman" w:hAnsi="Times New Roman" w:eastAsia="仿宋_GB2312"/>
          <w:kern w:val="0"/>
          <w:sz w:val="32"/>
          <w:szCs w:val="32"/>
          <w:lang w:val="en-US" w:eastAsia="zh-CN"/>
        </w:rPr>
        <w:t>2</w:t>
      </w:r>
      <w:r>
        <w:rPr>
          <w:rFonts w:hint="eastAsia" w:ascii="Times New Roman" w:hAnsi="Times New Roman" w:eastAsia="仿宋_GB2312"/>
          <w:kern w:val="0"/>
          <w:sz w:val="32"/>
          <w:szCs w:val="32"/>
          <w:lang w:eastAsia="zh-CN"/>
        </w:rPr>
        <w:t>年专项资金支出为</w:t>
      </w:r>
      <w:r>
        <w:rPr>
          <w:rFonts w:hint="eastAsia" w:ascii="Times New Roman" w:hAnsi="Times New Roman" w:eastAsia="仿宋_GB2312"/>
          <w:kern w:val="0"/>
          <w:sz w:val="32"/>
          <w:szCs w:val="32"/>
          <w:lang w:val="en-US" w:eastAsia="zh-CN"/>
        </w:rPr>
        <w:t>2846.36</w:t>
      </w:r>
      <w:r>
        <w:rPr>
          <w:rFonts w:hint="eastAsia" w:ascii="Times New Roman" w:hAnsi="Times New Roman" w:eastAsia="仿宋_GB2312"/>
          <w:kern w:val="0"/>
          <w:sz w:val="32"/>
          <w:szCs w:val="32"/>
          <w:lang w:eastAsia="zh-CN"/>
        </w:rPr>
        <w:t>万元，其中预算项目支出为5</w:t>
      </w:r>
      <w:r>
        <w:rPr>
          <w:rFonts w:hint="eastAsia" w:ascii="Times New Roman" w:hAnsi="Times New Roman" w:eastAsia="仿宋_GB2312"/>
          <w:kern w:val="0"/>
          <w:sz w:val="32"/>
          <w:szCs w:val="32"/>
          <w:lang w:val="en-US" w:eastAsia="zh-CN"/>
        </w:rPr>
        <w:t>4.59</w:t>
      </w:r>
      <w:r>
        <w:rPr>
          <w:rFonts w:hint="eastAsia" w:ascii="Times New Roman" w:hAnsi="Times New Roman" w:eastAsia="仿宋_GB2312"/>
          <w:kern w:val="0"/>
          <w:sz w:val="32"/>
          <w:szCs w:val="32"/>
          <w:lang w:eastAsia="zh-CN"/>
        </w:rPr>
        <w:t>万元，专项资金是根据我市实际情况，根据省拨资金的多少，确定补助对象，严格按照审批程序在202</w:t>
      </w:r>
      <w:r>
        <w:rPr>
          <w:rFonts w:hint="eastAsia" w:ascii="Times New Roman" w:hAnsi="Times New Roman" w:eastAsia="仿宋_GB2312"/>
          <w:kern w:val="0"/>
          <w:sz w:val="32"/>
          <w:szCs w:val="32"/>
          <w:lang w:val="en-US" w:eastAsia="zh-CN"/>
        </w:rPr>
        <w:t>2</w:t>
      </w:r>
      <w:r>
        <w:rPr>
          <w:rFonts w:hint="eastAsia" w:ascii="Times New Roman" w:hAnsi="Times New Roman" w:eastAsia="仿宋_GB2312"/>
          <w:kern w:val="0"/>
          <w:sz w:val="32"/>
          <w:szCs w:val="32"/>
          <w:lang w:eastAsia="zh-CN"/>
        </w:rPr>
        <w:t>年12月31号前拨付到各单位和社区，主要用于各机构上级转移支付资金。</w:t>
      </w:r>
    </w:p>
    <w:p>
      <w:pPr>
        <w:pStyle w:val="11"/>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 xml:space="preserve">3、专项资金管理情况分析                                           </w:t>
      </w:r>
      <w:r>
        <w:rPr>
          <w:rFonts w:hint="eastAsia" w:ascii="Times New Roman" w:hAnsi="Times New Roman" w:eastAsia="仿宋_GB2312"/>
          <w:kern w:val="0"/>
          <w:sz w:val="32"/>
          <w:szCs w:val="32"/>
          <w:lang w:val="en-US" w:eastAsia="zh-CN"/>
        </w:rPr>
        <w:t xml:space="preserve">      </w:t>
      </w:r>
    </w:p>
    <w:p>
      <w:pPr>
        <w:pStyle w:val="11"/>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本着专款专用的原则，严格执行项目资金批准的使用计划和项目批复内容，不擅自调项、扩项、缩项，不拆借、挪用、挤占。资金拨付动向按专项资金的要求执行。同时对专项资金的支付，严格执行财务制度，落实专项资金审核程序。三、政府性基金预算支出情况</w:t>
      </w:r>
    </w:p>
    <w:p>
      <w:pPr>
        <w:numPr>
          <w:ilvl w:val="0"/>
          <w:numId w:val="3"/>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国有资本经营预算支出情况</w:t>
      </w:r>
    </w:p>
    <w:p>
      <w:pPr>
        <w:pStyle w:val="11"/>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我单位无政府性基金预算收支。</w:t>
      </w:r>
    </w:p>
    <w:p>
      <w:pPr>
        <w:numPr>
          <w:ilvl w:val="0"/>
          <w:numId w:val="3"/>
        </w:numPr>
        <w:spacing w:line="600" w:lineRule="exact"/>
        <w:ind w:left="0" w:leftChars="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pPr>
        <w:pStyle w:val="11"/>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我单位决算涵盖就业专项资金，创业担保贷款贴息，用于就业专项资金支出和创业担保贷款贴息</w:t>
      </w:r>
    </w:p>
    <w:p>
      <w:pPr>
        <w:spacing w:line="600" w:lineRule="exact"/>
        <w:ind w:firstLine="640" w:firstLineChars="200"/>
        <w:jc w:val="both"/>
        <w:rPr>
          <w:rFonts w:hint="eastAsia" w:eastAsia="仿宋_GB2312"/>
          <w:kern w:val="0"/>
          <w:sz w:val="32"/>
          <w:szCs w:val="32"/>
          <w:lang w:eastAsia="zh-CN"/>
        </w:rPr>
      </w:pPr>
      <w:r>
        <w:rPr>
          <w:rFonts w:hint="eastAsia" w:ascii="方正黑体_GBK" w:eastAsia="方正黑体_GBK"/>
          <w:kern w:val="0"/>
          <w:sz w:val="32"/>
          <w:szCs w:val="32"/>
          <w:lang w:eastAsia="zh-CN"/>
        </w:rPr>
        <w:t>六、部门整体支出绩效情况</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汨罗市就业服务中心作为负责就业服务的重要机构，其职责涵盖了就业登记、失业登记、创业指导、职业培训、职业介绍等多个方面。从实践来看，能够较好地履行这些职责，通过提供多样化的就业服务，有效促进了劳动力的流动和市场的匹配。例如，在新增就业人数、城镇登记失业率控制等关键指标上，部门能够超额或按时完成目标任务，体现了较高的职责履行效能。同时围绕行业发展规划，合理安排预算资金，确保各项就业服务工作的顺利开展。在预算资金管理方面，部门严格执行国家相关法律法规，规范预算编制、审批、执行、控制、调整、分析、考核及评价等各个环节，确保资金使用的合规性和有效性。同时，部门还注重资金使用的绩效导向，通过优化支出结构、提高资金使用效率等措施，不断提升整体支出绩效水平。汨罗市就业服务中心在资产管理方面表现出较高的规范化水平。部门建立健全了固定资产管理制度，明确了资产的购置、使用、维护、处置等各个环节的管理责任，确保了资产的安全完整和有效利用。在业务开展方面，部门能够根据市场需求和政策导向，不断创新服务模式、拓展服务领域、提升服务质量，为劳动者提供更加便捷、高效、优质的就业服务。在合理控制运行成本、提高管理效率方面取得了显著成效。部门通过优化服务流程、加强人员培训、引入信息化手段等措施，有效降低了服务成本，提高了工作效率。同时，部门还注重内部管理的规范化建设，建立健全了各项规章制度和内部控制机制，确保了各项工作的有序开展和高效运行。通过提供优质的就业服务，部门有效促进了劳动力的流动和市场的匹配，缓解了就业压力，维护了社会稳定。同时，部门还注重可持续发展能力的建设，通过加强政策研究、完善服务体系、拓展服务渠道等措施，不断提升自身的服务能力和水平，为未来的可持续发展奠定了坚实基础。注重与劳动者的沟通和互动，及时了解他们的需求和诉求，并根据实际情况进行针对性的改进和优化。这种以服务对象为中心的服务理念得到了广大劳动者的认可和好评，进一步提升了部门的整体形象和信誉度。</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综上所述，就业服务中心部门整体支出绩效情况表现良好，在职责履行、行业发展规划与预算资金管理、资产管理与业务开展、运行成本与管理效率、社会效应与可持续发展能力以及服务对象满意度等方面均取得了显著成效。未来，部门应继续加强内部管理、优化服务流程、提高服务质量，为劳动者提供更加优质、高效的就业服务。</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从实践来看，发现了小部分问题：</w:t>
      </w:r>
      <w:r>
        <w:rPr>
          <w:rFonts w:hint="eastAsia" w:eastAsia="仿宋_GB2312"/>
          <w:kern w:val="0"/>
          <w:sz w:val="32"/>
          <w:szCs w:val="32"/>
          <w:lang w:val="en-US" w:eastAsia="zh-CN"/>
        </w:rPr>
        <w:t>1.</w:t>
      </w:r>
      <w:r>
        <w:rPr>
          <w:rFonts w:hint="eastAsia" w:eastAsia="仿宋_GB2312"/>
          <w:kern w:val="0"/>
          <w:sz w:val="32"/>
          <w:szCs w:val="32"/>
          <w:lang w:eastAsia="zh-CN"/>
        </w:rPr>
        <w:t>预算编制有待更严格执行。预算编制与实际支出项目有的存在差异。</w:t>
      </w:r>
      <w:r>
        <w:rPr>
          <w:rFonts w:hint="eastAsia" w:eastAsia="仿宋_GB2312"/>
          <w:kern w:val="0"/>
          <w:sz w:val="32"/>
          <w:szCs w:val="32"/>
          <w:lang w:val="en-US" w:eastAsia="zh-CN"/>
        </w:rPr>
        <w:t>2.</w:t>
      </w:r>
      <w:r>
        <w:rPr>
          <w:rFonts w:hint="eastAsia" w:eastAsia="仿宋_GB2312"/>
          <w:kern w:val="0"/>
          <w:sz w:val="32"/>
          <w:szCs w:val="32"/>
          <w:lang w:eastAsia="zh-CN"/>
        </w:rPr>
        <w:t>固定资产管理水平有待进一步提高，固定资产管理有待进一步加强。</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其存在的原因主要有：预算执行过程中，由于种种原因（如政策调整、市场环境变化等），常常出现追加临时预算的情况，这削弱了预算的刚性约束。预算监督与考核机制不健全：预算监督体系不完善，对预算执行的监督力度不够，难以及时发现并纠正预算执行中的问题。缺乏有效的预算考核机制，无法对预算执行的绩效进行客观评价，导致预算编制和执行缺乏动力和压力。固定资产信息化管理水平低，单位在固定资产管理方面仍采用传统的手工方式，信息化管理水平低。信息化水平的不足使得固定资产的管理效率低下，难以实现对固定资产的实时监控和动态管理。固定资产使用效益不高，单位在固定资产的使用上存在浪费和闲置现象，未能充分发挥固定资产的使用效益。缺乏有效的资产调配和共享机制，使得固定资产在部门之间难以实现优化配置和高效利用。</w:t>
      </w:r>
    </w:p>
    <w:p>
      <w:pPr>
        <w:numPr>
          <w:ilvl w:val="0"/>
          <w:numId w:val="4"/>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下一步改进措施</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一是按照预算规定的项目和用途严格财务审核，经费支出严格按照预算规定项目的财务支出内容进行财务核算，在预算金额内严格控制费用的支出。</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二是严格控制“三公经费”支出，杜绝挪用和挤占其他预算资金，进一步细化三公经费管理，压缩三公经费支出。</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三是预算财务分析常态化，定期做好预算支出财务分析，做好部门整体支出预算评价工作。</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四是财政资金按进度支付，以提高资金的使用效率。</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 xml:space="preserve">五是严格按照相关资金及项目管理办法和制度，做到专款专用，专项资金单独核算，对专项资金支出加大审核力度，严格按制度执行。 </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加强预算编制的科学性和刚性约束、完善固定资产管理制度、提高固定资产管理意识、推进固定资产信息化管理、加强固定资产清查盘点以及提高固定资产使用效益等方面入手，全面提升固定资产管理水平。</w:t>
      </w:r>
    </w:p>
    <w:p>
      <w:pPr>
        <w:numPr>
          <w:ilvl w:val="0"/>
          <w:numId w:val="4"/>
        </w:numPr>
        <w:spacing w:line="600" w:lineRule="exact"/>
        <w:ind w:left="0" w:leftChars="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部门整体支出绩效自评结果拟应用和公开情况</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部门整体支出绩效自评结果及时公开，评价较好。</w:t>
      </w:r>
    </w:p>
    <w:p>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无</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firstLine="1350" w:firstLineChars="300"/>
        <w:jc w:val="both"/>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复退军人生活补助</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4"/>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rFonts w:hint="eastAsia"/>
          <w:spacing w:val="-22"/>
          <w:sz w:val="27"/>
          <w:szCs w:val="27"/>
          <w:u w:val="single" w:color="auto"/>
          <w:lang w:eastAsia="zh-CN"/>
        </w:rPr>
        <w:t>汨罗市就业服务中心</w:t>
      </w:r>
      <w:r>
        <w:rPr>
          <w:sz w:val="27"/>
          <w:szCs w:val="27"/>
          <w:u w:val="single" w:color="auto"/>
        </w:rPr>
        <w:t xml:space="preserve">  </w:t>
      </w:r>
    </w:p>
    <w:p>
      <w:pPr>
        <w:pStyle w:val="4"/>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4"/>
        <w:spacing w:before="1" w:line="223" w:lineRule="auto"/>
        <w:ind w:left="3560"/>
        <w:rPr>
          <w:sz w:val="24"/>
          <w:szCs w:val="24"/>
        </w:rPr>
      </w:pPr>
      <w:r>
        <w:rPr>
          <w:spacing w:val="7"/>
          <w:sz w:val="24"/>
          <w:szCs w:val="24"/>
        </w:rPr>
        <w:t>(此面为封面)</w:t>
      </w:r>
    </w:p>
    <w:p>
      <w:pPr>
        <w:spacing w:line="223" w:lineRule="auto"/>
        <w:rPr>
          <w:sz w:val="24"/>
          <w:szCs w:val="24"/>
        </w:rPr>
        <w:sectPr>
          <w:footerReference r:id="rId8"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b/>
          <w:bCs/>
          <w:spacing w:val="6"/>
          <w:sz w:val="42"/>
          <w:szCs w:val="42"/>
        </w:rPr>
      </w:pPr>
      <w:r>
        <w:rPr>
          <w:rFonts w:ascii="黑体" w:hAnsi="黑体" w:eastAsia="黑体" w:cs="黑体"/>
          <w:b/>
          <w:bCs/>
          <w:spacing w:val="6"/>
          <w:sz w:val="42"/>
          <w:szCs w:val="42"/>
        </w:rPr>
        <w:t>项目支出绩效评价报告</w:t>
      </w:r>
    </w:p>
    <w:p>
      <w:pPr>
        <w:pStyle w:val="2"/>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r>
        <w:rPr>
          <w:rFonts w:hint="eastAsia" w:eastAsia="仿宋_GB2312"/>
          <w:kern w:val="0"/>
          <w:sz w:val="32"/>
          <w:szCs w:val="32"/>
          <w:lang w:eastAsia="zh-CN"/>
        </w:rPr>
        <w:t xml:space="preserve">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本项目资金用于对企业下岗失业的复退军人（简称“四类人员”包括1、转业志愿兵2、伤残军人3、参战军人4、涉核军人）生活补助,有力维护劳动关系和谐稳定、进一步健全劳动体制机制。</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(二)项目资金使用管理情况。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zh-CN"/>
        </w:rPr>
        <w:t>复退军人生活补助项目，</w:t>
      </w:r>
      <w:r>
        <w:rPr>
          <w:rFonts w:hint="eastAsia" w:eastAsia="仿宋_GB2312"/>
          <w:kern w:val="0"/>
          <w:sz w:val="32"/>
          <w:szCs w:val="32"/>
          <w:lang w:val="en-US" w:eastAsia="en-US"/>
        </w:rPr>
        <w:t>根据《就业促进法》、《湖南省就业困难人员就业援助实施办法》湘政办发﹝2009﹞34号、《湖南省就业专项资金使用管理办法》湘政办发﹝2012﹞15号、《湖南省人力资源和社会保障厅 湖南省财政厅关于进一步规范公益性岗位开发和管理有关问题的通知》湘人社发﹝2013﹞93号以及就业困难援助等相关政策文件，结合汨罗实际，需要对企业下岗失业的复退军人（简称“四类人员”包括1、转业志愿兵2、伤残军人3、参战军人4、涉核军人）给予公益性岗位补贴。根据2011年市委市政府关于“四类人员”问题处理的会议要求，从2011年起由就业服务局对四类人员共计144人按公益性岗位526元/月进行补贴，复退军人公益性岗位补贴从就业补助资金中列支，自2011年至2019共计支出16921200元（明细见附表），财政按200元/月共计345600元对就业服务局给予补贴。2020年9月岳阳审计对汨罗市贯彻落实重大政策措施情况跟踪审计中指出复退军人超期享受公益性岗位补贴，追回公益性岗位补贴2257100元，复退军人公益性岗位补贴执行至2019年；根据汨府阅﹝2021﹞4号，关于城镇退役军人“四类人员”信访问题的会议纪要，明确市人社局2020年1月至2022年12月每年统筹就业创业服务补助资金1000000元由财政整合资金兜底解决“四类人员”社保、医保等。</w:t>
      </w:r>
    </w:p>
    <w:p>
      <w:pPr>
        <w:keepNext w:val="0"/>
        <w:keepLines w:val="0"/>
        <w:pageBreakBefore w:val="0"/>
        <w:widowControl/>
        <w:kinsoku/>
        <w:wordWrap/>
        <w:overflowPunct/>
        <w:topLinePunct w:val="0"/>
        <w:autoSpaceDE/>
        <w:autoSpaceDN/>
        <w:bidi w:val="0"/>
        <w:adjustRightInd/>
        <w:spacing w:line="560" w:lineRule="exact"/>
        <w:ind w:firstLine="562" w:firstLineChars="200"/>
        <w:textAlignment w:val="auto"/>
        <w:rPr>
          <w:rFonts w:hint="eastAsia" w:ascii="楷体" w:hAnsi="楷体" w:eastAsia="黑体" w:cs="楷体"/>
          <w:b/>
          <w:bCs/>
          <w:spacing w:val="6"/>
          <w:position w:val="16"/>
          <w:sz w:val="31"/>
          <w:szCs w:val="31"/>
          <w:lang w:eastAsia="zh-CN"/>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hint="eastAsia" w:ascii="黑体" w:hAnsi="黑体" w:eastAsia="黑体" w:cs="黑体"/>
          <w:b/>
          <w:bCs/>
          <w:snapToGrid w:val="0"/>
          <w:color w:val="000000"/>
          <w:spacing w:val="-15"/>
          <w:kern w:val="0"/>
          <w:sz w:val="31"/>
          <w:szCs w:val="31"/>
          <w:lang w:val="en-US" w:eastAsia="zh-CN" w:bidi="ar-SA"/>
        </w:rPr>
        <w:t>。</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Times New Roman"/>
          <w:spacing w:val="0"/>
          <w:kern w:val="2"/>
          <w:sz w:val="32"/>
          <w:szCs w:val="32"/>
          <w:lang w:val="en-US" w:eastAsia="zh-CN" w:bidi="ar-SA"/>
        </w:rPr>
      </w:pPr>
      <w:r>
        <w:rPr>
          <w:rFonts w:hint="eastAsia" w:ascii="仿宋_GB2312" w:hAnsi="仿宋_GB2312" w:eastAsia="仿宋_GB2312" w:cs="Times New Roman"/>
          <w:spacing w:val="0"/>
          <w:kern w:val="2"/>
          <w:sz w:val="32"/>
          <w:szCs w:val="32"/>
          <w:lang w:val="en-US" w:eastAsia="zh-CN" w:bidi="ar-SA"/>
        </w:rPr>
        <w:t>复退军人生活补助项目资金使用情况良好，分阶段分期使用完毕。</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640" w:firstLineChars="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Times New Roman"/>
          <w:spacing w:val="0"/>
          <w:kern w:val="2"/>
          <w:sz w:val="32"/>
          <w:szCs w:val="32"/>
          <w:lang w:val="en-US" w:eastAsia="zh-CN" w:bidi="ar-SA"/>
        </w:rPr>
      </w:pPr>
      <w:r>
        <w:rPr>
          <w:rFonts w:hint="eastAsia" w:ascii="仿宋_GB2312" w:hAnsi="仿宋_GB2312" w:eastAsia="仿宋_GB2312" w:cs="Times New Roman"/>
          <w:spacing w:val="0"/>
          <w:kern w:val="2"/>
          <w:sz w:val="32"/>
          <w:szCs w:val="32"/>
          <w:lang w:val="en-US" w:eastAsia="zh-CN" w:bidi="ar-SA"/>
        </w:rPr>
        <w:t>根据《汨罗市财政局关于开展2022年度部门整体支出和项目支出绩效自评工作的通知》等相关文件要求，我单位制定了绩效自评方案，成立了工作领导小组，严格按照方案要求，及时发现问题，解决问题，形成了本自评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Times New Roman"/>
          <w:spacing w:val="0"/>
          <w:kern w:val="2"/>
          <w:sz w:val="32"/>
          <w:szCs w:val="32"/>
          <w:lang w:val="en-US" w:eastAsia="zh-CN" w:bidi="ar-SA"/>
        </w:rPr>
      </w:pPr>
      <w:r>
        <w:rPr>
          <w:rFonts w:hint="eastAsia" w:ascii="仿宋_GB2312" w:hAnsi="仿宋_GB2312" w:eastAsia="仿宋_GB2312" w:cs="Times New Roman"/>
          <w:spacing w:val="0"/>
          <w:kern w:val="2"/>
          <w:sz w:val="32"/>
          <w:szCs w:val="32"/>
          <w:lang w:val="en-US" w:eastAsia="zh-CN" w:bidi="ar-SA"/>
        </w:rPr>
        <w:t>本年度落实了按时足额发放复退军人生活补助，有力维护了劳动关系和谐稳定，保障了就业工作平稳有序开展。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Times New Roman"/>
          <w:spacing w:val="0"/>
          <w:kern w:val="2"/>
          <w:sz w:val="32"/>
          <w:szCs w:val="32"/>
          <w:lang w:val="en-US" w:eastAsia="zh-CN" w:bidi="ar-SA"/>
        </w:rPr>
      </w:pPr>
      <w:r>
        <w:rPr>
          <w:rFonts w:hint="eastAsia" w:ascii="仿宋_GB2312" w:hAnsi="仿宋_GB2312" w:eastAsia="仿宋_GB2312" w:cs="Times New Roman"/>
          <w:spacing w:val="0"/>
          <w:kern w:val="2"/>
          <w:sz w:val="32"/>
          <w:szCs w:val="32"/>
          <w:lang w:val="en-US" w:eastAsia="zh-CN" w:bidi="ar-SA"/>
        </w:rPr>
        <w:t>本单位项目决策根据实际情况制定了实施规划，秉持维护劳动关系和谐稳定的理念，合理安排项目资金。</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项目执行过程情况</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Times New Roman"/>
          <w:spacing w:val="0"/>
          <w:kern w:val="2"/>
          <w:sz w:val="32"/>
          <w:szCs w:val="32"/>
          <w:lang w:val="en-US" w:eastAsia="zh-CN" w:bidi="ar-SA"/>
        </w:rPr>
      </w:pPr>
      <w:r>
        <w:rPr>
          <w:rFonts w:hint="eastAsia" w:ascii="仿宋_GB2312" w:hAnsi="仿宋_GB2312" w:eastAsia="仿宋_GB2312" w:cs="Times New Roman"/>
          <w:spacing w:val="0"/>
          <w:kern w:val="2"/>
          <w:sz w:val="32"/>
          <w:szCs w:val="32"/>
          <w:lang w:val="en-US" w:eastAsia="zh-CN" w:bidi="ar-SA"/>
        </w:rPr>
        <w:t>本单位项目在开展过程中严格按照相关制度规定等进行，按照实际情况支出，严禁挤占、挪用、虚列支出等情况发生。</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项目支出产出情况</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Times New Roman"/>
          <w:spacing w:val="0"/>
          <w:kern w:val="2"/>
          <w:sz w:val="32"/>
          <w:szCs w:val="32"/>
          <w:lang w:val="en-US" w:eastAsia="zh-CN" w:bidi="ar-SA"/>
        </w:rPr>
      </w:pPr>
      <w:r>
        <w:rPr>
          <w:rFonts w:hint="eastAsia" w:ascii="仿宋_GB2312" w:hAnsi="仿宋_GB2312" w:eastAsia="仿宋_GB2312" w:cs="Times New Roman"/>
          <w:spacing w:val="0"/>
          <w:kern w:val="2"/>
          <w:sz w:val="32"/>
          <w:szCs w:val="32"/>
          <w:lang w:val="en-US" w:eastAsia="zh-CN" w:bidi="ar-SA"/>
        </w:rPr>
        <w:t>本单位项目产出按照数量、质量、时效、成本等四个方面，根据各自情况，设置相关指标内容，用于跟踪项目工作的开展。</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项目支出效益情况</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lang w:eastAsia="zh-CN"/>
        </w:rPr>
      </w:pPr>
      <w:r>
        <w:rPr>
          <w:rFonts w:hint="eastAsia" w:ascii="仿宋_GB2312" w:hAnsi="仿宋_GB2312" w:eastAsia="仿宋_GB2312" w:cs="Times New Roman"/>
          <w:snapToGrid w:val="0"/>
          <w:color w:val="000000"/>
          <w:spacing w:val="0"/>
          <w:kern w:val="2"/>
          <w:sz w:val="32"/>
          <w:szCs w:val="32"/>
          <w:lang w:val="en-US" w:eastAsia="zh-CN" w:bidi="ar-SA"/>
        </w:rPr>
        <w:t>本单位项目效益按照经济效益、</w:t>
      </w:r>
      <w:r>
        <w:rPr>
          <w:rFonts w:hint="eastAsia" w:ascii="仿宋_GB2312" w:hAnsi="仿宋_GB2312" w:eastAsia="仿宋_GB2312" w:cs="Times New Roman"/>
          <w:spacing w:val="0"/>
          <w:kern w:val="2"/>
          <w:sz w:val="32"/>
          <w:szCs w:val="32"/>
          <w:lang w:val="en-US" w:eastAsia="zh-CN" w:bidi="ar-SA"/>
        </w:rPr>
        <w:t>社会效益</w:t>
      </w:r>
      <w:r>
        <w:rPr>
          <w:rFonts w:hint="eastAsia" w:ascii="仿宋_GB2312" w:hAnsi="仿宋_GB2312" w:eastAsia="仿宋_GB2312" w:cs="Times New Roman"/>
          <w:snapToGrid w:val="0"/>
          <w:color w:val="000000"/>
          <w:spacing w:val="0"/>
          <w:kern w:val="2"/>
          <w:sz w:val="32"/>
          <w:szCs w:val="32"/>
          <w:lang w:val="en-US" w:eastAsia="zh-CN" w:bidi="ar-SA"/>
        </w:rPr>
        <w:t>、生态效益、服务对象满意度等四个方面，设置符合实际情况的指标内容，用于跟</w:t>
      </w:r>
      <w:r>
        <w:rPr>
          <w:rFonts w:hint="eastAsia" w:ascii="仿宋_GB2312" w:hAnsi="仿宋_GB2312" w:eastAsia="仿宋_GB2312" w:cs="Times New Roman"/>
          <w:spacing w:val="0"/>
          <w:kern w:val="2"/>
          <w:sz w:val="32"/>
          <w:szCs w:val="32"/>
          <w:lang w:val="en-US" w:eastAsia="zh-CN" w:bidi="ar-SA"/>
        </w:rPr>
        <w:t>踪项目工作的开展。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在项目资金实施过程中我单位按照分时分段以及提前做好规划，合理制定工作方案等方式合规有序使用资金。但是在工作过程中，工作量大，工作任务重，执法监督人手不足，工作压力较大。 </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pPr>
      <w:r>
        <w:rPr>
          <w:rFonts w:hint="eastAsia" w:ascii="仿宋_GB2312" w:hAnsi="仿宋_GB2312" w:eastAsia="仿宋_GB2312" w:cs="仿宋_GB2312"/>
          <w:color w:val="auto"/>
          <w:spacing w:val="7"/>
          <w:kern w:val="2"/>
          <w:sz w:val="32"/>
          <w:szCs w:val="32"/>
          <w:lang w:val="en-US" w:eastAsia="zh-CN" w:bidi="ar-SA"/>
        </w:rPr>
        <w:t>我单位将继续深入贯彻落实省厅关于进一步加强社会保险基金管理风险防控工作的实施意见，努力构建政策、经办、信息、监督四位一体的风险防控工作机制，切实维护基金安全完整。同时，采取多种方式，突出抓好经常性警示教育，进一步增强人员的风险防控意识，树立底线思维，努力推动汨罗市就业服务事业健康快速发展。</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其他需要说明的问题</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kern w:val="2"/>
          <w:sz w:val="32"/>
          <w:szCs w:val="32"/>
          <w:lang w:val="en-US" w:eastAsia="zh-CN" w:bidi="ar-SA"/>
        </w:rPr>
      </w:pPr>
      <w:r>
        <w:rPr>
          <w:rFonts w:hint="eastAsia" w:ascii="仿宋_GB2312" w:hAnsi="仿宋_GB2312" w:eastAsia="仿宋_GB2312" w:cs="仿宋_GB2312"/>
          <w:color w:val="auto"/>
          <w:spacing w:val="7"/>
          <w:kern w:val="2"/>
          <w:sz w:val="32"/>
          <w:szCs w:val="32"/>
          <w:lang w:val="en-US" w:eastAsia="zh-CN" w:bidi="ar-SA"/>
        </w:rPr>
        <w:t>无</w:t>
      </w:r>
    </w:p>
    <w:sectPr>
      <w:footerReference r:id="rId9"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5"/>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5"/>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5"/>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5"/>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D8A9C6"/>
    <w:multiLevelType w:val="singleLevel"/>
    <w:tmpl w:val="88D8A9C6"/>
    <w:lvl w:ilvl="0" w:tentative="0">
      <w:start w:val="2"/>
      <w:numFmt w:val="chineseCounting"/>
      <w:lvlText w:val="(%1)"/>
      <w:lvlJc w:val="left"/>
      <w:pPr>
        <w:tabs>
          <w:tab w:val="left" w:pos="312"/>
        </w:tabs>
      </w:pPr>
      <w:rPr>
        <w:rFonts w:hint="eastAsia"/>
      </w:rPr>
    </w:lvl>
  </w:abstractNum>
  <w:abstractNum w:abstractNumId="1">
    <w:nsid w:val="99E2EFE0"/>
    <w:multiLevelType w:val="singleLevel"/>
    <w:tmpl w:val="99E2EFE0"/>
    <w:lvl w:ilvl="0" w:tentative="0">
      <w:start w:val="8"/>
      <w:numFmt w:val="chineseCounting"/>
      <w:suff w:val="nothing"/>
      <w:lvlText w:val="%1、"/>
      <w:lvlJc w:val="left"/>
      <w:rPr>
        <w:rFonts w:hint="eastAsia"/>
      </w:rPr>
    </w:lvl>
  </w:abstractNum>
  <w:abstractNum w:abstractNumId="2">
    <w:nsid w:val="BCE07824"/>
    <w:multiLevelType w:val="singleLevel"/>
    <w:tmpl w:val="BCE07824"/>
    <w:lvl w:ilvl="0" w:tentative="0">
      <w:start w:val="1"/>
      <w:numFmt w:val="chineseCounting"/>
      <w:suff w:val="nothing"/>
      <w:lvlText w:val="（%1）"/>
      <w:lvlJc w:val="left"/>
      <w:rPr>
        <w:rFonts w:hint="eastAsia"/>
      </w:rPr>
    </w:lvl>
  </w:abstractNum>
  <w:abstractNum w:abstractNumId="3">
    <w:nsid w:val="F2410367"/>
    <w:multiLevelType w:val="singleLevel"/>
    <w:tmpl w:val="F2410367"/>
    <w:lvl w:ilvl="0" w:tentative="0">
      <w:start w:val="1"/>
      <w:numFmt w:val="chineseCounting"/>
      <w:suff w:val="nothing"/>
      <w:lvlText w:val="%1、"/>
      <w:lvlJc w:val="left"/>
      <w:rPr>
        <w:rFonts w:hint="eastAsia"/>
      </w:rPr>
    </w:lvl>
  </w:abstractNum>
  <w:abstractNum w:abstractNumId="4">
    <w:nsid w:val="5088D1C2"/>
    <w:multiLevelType w:val="singleLevel"/>
    <w:tmpl w:val="5088D1C2"/>
    <w:lvl w:ilvl="0" w:tentative="0">
      <w:start w:val="4"/>
      <w:numFmt w:val="chineseCounting"/>
      <w:suff w:val="nothing"/>
      <w:lvlText w:val="%1、"/>
      <w:lvlJc w:val="left"/>
      <w:rPr>
        <w:rFonts w:hint="eastAsia"/>
      </w:r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false"/>
  <w:bordersDoNotSurroundFooter w:val="false"/>
  <w:documentProtection w:enforcement="0"/>
  <w:displayHorizontalDrawingGridEvery w:val="1"/>
  <w:displayVerticalDrawingGridEvery w:val="1"/>
  <w:noPunctuationKerning w:val="true"/>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2NmZmUzNDU2NDJmYmUwYmZjNWI3MjQ4NWUwMDcwNzgifQ=="/>
  </w:docVars>
  <w:rsids>
    <w:rsidRoot w:val="00000000"/>
    <w:rsid w:val="00ED5986"/>
    <w:rsid w:val="01AF3811"/>
    <w:rsid w:val="02D0730E"/>
    <w:rsid w:val="036839EA"/>
    <w:rsid w:val="03795BF7"/>
    <w:rsid w:val="04843CED"/>
    <w:rsid w:val="086E756B"/>
    <w:rsid w:val="08A454C4"/>
    <w:rsid w:val="093605E2"/>
    <w:rsid w:val="093F28F7"/>
    <w:rsid w:val="0ACF37E5"/>
    <w:rsid w:val="0B400BC6"/>
    <w:rsid w:val="0C2571A8"/>
    <w:rsid w:val="0D662D48"/>
    <w:rsid w:val="0E68228D"/>
    <w:rsid w:val="125E66E4"/>
    <w:rsid w:val="135D699C"/>
    <w:rsid w:val="14665D24"/>
    <w:rsid w:val="15276E52"/>
    <w:rsid w:val="16D52CED"/>
    <w:rsid w:val="19D32FBC"/>
    <w:rsid w:val="1A50725A"/>
    <w:rsid w:val="1A693E78"/>
    <w:rsid w:val="1C281B11"/>
    <w:rsid w:val="1C9D55C9"/>
    <w:rsid w:val="1CE0443D"/>
    <w:rsid w:val="1E6A4395"/>
    <w:rsid w:val="1F1C595D"/>
    <w:rsid w:val="1FEF49A7"/>
    <w:rsid w:val="20096F92"/>
    <w:rsid w:val="22F4274D"/>
    <w:rsid w:val="24665F1D"/>
    <w:rsid w:val="25557A3D"/>
    <w:rsid w:val="26EA5ED7"/>
    <w:rsid w:val="27A93B82"/>
    <w:rsid w:val="2AE00186"/>
    <w:rsid w:val="2B231E21"/>
    <w:rsid w:val="2CB76CC5"/>
    <w:rsid w:val="2EE31FF3"/>
    <w:rsid w:val="2FEC137B"/>
    <w:rsid w:val="308216BE"/>
    <w:rsid w:val="31527E83"/>
    <w:rsid w:val="34237336"/>
    <w:rsid w:val="34FE1149"/>
    <w:rsid w:val="35213262"/>
    <w:rsid w:val="361B6516"/>
    <w:rsid w:val="37B07132"/>
    <w:rsid w:val="3A550786"/>
    <w:rsid w:val="3B7A130F"/>
    <w:rsid w:val="3B9F25E9"/>
    <w:rsid w:val="3ECE641A"/>
    <w:rsid w:val="3FFB703E"/>
    <w:rsid w:val="42F205FF"/>
    <w:rsid w:val="44DF109D"/>
    <w:rsid w:val="46310646"/>
    <w:rsid w:val="49093E4C"/>
    <w:rsid w:val="4B86753E"/>
    <w:rsid w:val="4F06755E"/>
    <w:rsid w:val="4F730D1A"/>
    <w:rsid w:val="4F8B6063"/>
    <w:rsid w:val="52FA3F96"/>
    <w:rsid w:val="53990F84"/>
    <w:rsid w:val="53E10656"/>
    <w:rsid w:val="54D41A47"/>
    <w:rsid w:val="55850F17"/>
    <w:rsid w:val="571C6B19"/>
    <w:rsid w:val="57AE6D93"/>
    <w:rsid w:val="59DF839E"/>
    <w:rsid w:val="5A736072"/>
    <w:rsid w:val="5ADE798F"/>
    <w:rsid w:val="5BDB3ECE"/>
    <w:rsid w:val="5C6E6AF1"/>
    <w:rsid w:val="5FB623A7"/>
    <w:rsid w:val="65F362B8"/>
    <w:rsid w:val="665F74AA"/>
    <w:rsid w:val="69502EE7"/>
    <w:rsid w:val="6A8F6687"/>
    <w:rsid w:val="6B22444F"/>
    <w:rsid w:val="6BBD714D"/>
    <w:rsid w:val="6BFF1513"/>
    <w:rsid w:val="6C1F4A7C"/>
    <w:rsid w:val="6E3851B0"/>
    <w:rsid w:val="6EC133A4"/>
    <w:rsid w:val="6F775864"/>
    <w:rsid w:val="71461992"/>
    <w:rsid w:val="72B8066E"/>
    <w:rsid w:val="757A1DE7"/>
    <w:rsid w:val="75840CDB"/>
    <w:rsid w:val="777F7139"/>
    <w:rsid w:val="78533C23"/>
    <w:rsid w:val="79235F6A"/>
    <w:rsid w:val="7AE47175"/>
    <w:rsid w:val="7E431733"/>
    <w:rsid w:val="7ED67756"/>
    <w:rsid w:val="7FB3161B"/>
    <w:rsid w:val="BF4F1AD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2"/>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2"/>
    <w:basedOn w:val="1"/>
    <w:unhideWhenUsed/>
    <w:qFormat/>
    <w:uiPriority w:val="0"/>
    <w:pPr>
      <w:spacing w:after="120" w:line="480" w:lineRule="auto"/>
      <w:ind w:left="420" w:leftChars="200"/>
    </w:pPr>
  </w:style>
  <w:style w:type="paragraph" w:styleId="4">
    <w:name w:val="Body Text"/>
    <w:basedOn w:val="1"/>
    <w:semiHidden/>
    <w:qFormat/>
    <w:uiPriority w:val="0"/>
    <w:rPr>
      <w:rFonts w:ascii="仿宋" w:hAnsi="仿宋" w:eastAsia="仿宋" w:cs="仿宋"/>
      <w:sz w:val="34"/>
      <w:szCs w:val="34"/>
      <w:lang w:val="en-US" w:eastAsia="en-US" w:bidi="ar-SA"/>
    </w:rPr>
  </w:style>
  <w:style w:type="paragraph" w:styleId="5">
    <w:name w:val="footer"/>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Arial" w:hAnsi="Arial" w:eastAsia="Arial" w:cs="Arial"/>
      <w:sz w:val="21"/>
      <w:szCs w:val="21"/>
      <w:lang w:val="en-US" w:eastAsia="en-US" w:bidi="ar-SA"/>
    </w:rPr>
  </w:style>
  <w:style w:type="paragraph" w:styleId="11">
    <w:name w:val="List Paragraph"/>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 w:type="character" w:customStyle="1" w:styleId="12">
    <w:name w:val="标题 1 Char"/>
    <w:link w:val="3"/>
    <w:qFormat/>
    <w:uiPriority w:val="0"/>
    <w:rPr>
      <w:b/>
      <w:kern w:val="44"/>
      <w:sz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16</Pages>
  <Words>2626</Words>
  <Characters>2852</Characters>
  <TotalTime>26</TotalTime>
  <ScaleCrop>false</ScaleCrop>
  <LinksUpToDate>false</LinksUpToDate>
  <CharactersWithSpaces>3014</CharactersWithSpaces>
  <Application>WPS Office_11.8.2.10505_F1E327BC-269C-435d-A152-05C5408002CA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2024-04-20T21:25:00Z</dcterms:created>
  <dc:creator>Administrator</dc:creator>
  <cp:lastModifiedBy>kylin</cp:lastModifiedBy>
  <cp:lastPrinted>2024-05-22T14:05:00Z</cp:lastPrinted>
  <dcterms:modified xsi:type="dcterms:W3CDTF">2024-07-26T11:07:59Z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2052-11.8.2.10505</vt:lpwstr>
  </property>
  <property fmtid="{D5CDD505-2E9C-101B-9397-08002B2CF9AE}" pid="6" name="ICV">
    <vt:lpwstr>708C1D661E18457C968BB47BCDF67D96_13</vt:lpwstr>
  </property>
</Properties>
</file>