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附件1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年度部门整体支出绩效评价基础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数据表</w:t>
      </w:r>
    </w:p>
    <w:p>
      <w:pPr>
        <w:spacing w:line="177" w:lineRule="exact"/>
        <w:ind w:firstLine="420"/>
        <w:jc w:val="left"/>
        <w:rPr>
          <w:kern w:val="0"/>
          <w:lang w:eastAsia="zh-CN"/>
        </w:rPr>
      </w:pPr>
    </w:p>
    <w:tbl>
      <w:tblPr>
        <w:tblStyle w:val="8"/>
        <w:tblW w:w="94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财政供养人员情况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人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编制数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控制率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4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4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100.00%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经费控制情况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“</w:t>
            </w:r>
            <w:r>
              <w:rPr>
                <w:rFonts w:hint="eastAsia" w:ascii="仿宋_GB2312" w:hAnsi="宋体" w:eastAsia="仿宋_GB2312" w:cs="宋体"/>
                <w:kern w:val="0"/>
              </w:rPr>
              <w:t>三公</w:t>
            </w: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”</w:t>
            </w:r>
            <w:r>
              <w:rPr>
                <w:rFonts w:hint="eastAsia" w:ascii="仿宋_GB2312" w:hAnsi="宋体" w:eastAsia="仿宋_GB2312" w:cs="宋体"/>
                <w:kern w:val="0"/>
              </w:rPr>
              <w:t>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 xml:space="preserve">    1.5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840" w:firstLineChars="4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其中：公车购置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</w:rPr>
              <w:t>公车运行维护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 w:firstLineChars="0"/>
              <w:jc w:val="left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 xml:space="preserve">    1.5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、县级专项资金</w:t>
            </w:r>
          </w:p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一个专项一行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公用经费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8.37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5.3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8.75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其中：办公经费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1.52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0.39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</w:rPr>
              <w:t>水费、电费、差旅费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0.22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0.81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1050" w:firstLineChars="5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会议费、培训费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0.33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0.3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政府采购金额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20.5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20.5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26.36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楼堂馆所控制情况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年完工项目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批复规模</w:t>
            </w:r>
            <w:r>
              <w:rPr>
                <w:rFonts w:hint="eastAsia" w:ascii="仿宋_GB2312" w:eastAsia="仿宋_GB2312"/>
                <w:kern w:val="0"/>
              </w:rPr>
              <w:t xml:space="preserve"> 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实际规模</w:t>
            </w:r>
            <w:r>
              <w:rPr>
                <w:rFonts w:hint="eastAsia" w:ascii="仿宋_GB2312" w:eastAsia="仿宋_GB2312"/>
                <w:kern w:val="0"/>
              </w:rPr>
              <w:t>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规模控制率</w:t>
            </w:r>
          </w:p>
        </w:tc>
        <w:tc>
          <w:tcPr>
            <w:tcW w:w="107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预算投资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3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实际投资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4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投</w:t>
            </w:r>
            <w:r>
              <w:rPr>
                <w:rFonts w:hint="eastAsia" w:ascii="仿宋_GB2312" w:hAnsi="宋体" w:eastAsia="仿宋_GB2312" w:cs="宋体"/>
                <w:kern w:val="0"/>
              </w:rPr>
              <w:t>资概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算控</w:t>
            </w:r>
            <w:r>
              <w:rPr>
                <w:rFonts w:hint="eastAsia" w:ascii="仿宋_GB2312" w:hAnsi="宋体" w:eastAsia="仿宋_GB2312" w:cs="宋体"/>
                <w:kern w:val="0"/>
              </w:rPr>
              <w:t>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60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7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3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4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271" w:type="dxa"/>
            <w:vAlign w:val="center"/>
          </w:tcPr>
          <w:p>
            <w:pPr>
              <w:spacing w:before="128" w:line="201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spacing w:line="240" w:lineRule="auto"/>
        <w:jc w:val="left"/>
        <w:rPr>
          <w:rFonts w:ascii="仿宋_GB2312" w:eastAsia="仿宋_GB2312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说明：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项目支出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需要填报基本支出以外的所有项目支出情况，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公用经费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填报基本支出中的一般商品和服务支出。</w:t>
      </w:r>
    </w:p>
    <w:p>
      <w:pPr>
        <w:kinsoku w:val="0"/>
        <w:autoSpaceDE w:val="0"/>
        <w:autoSpaceDN w:val="0"/>
        <w:adjustRightInd w:val="0"/>
        <w:snapToGrid w:val="0"/>
        <w:spacing w:before="65" w:line="228" w:lineRule="auto"/>
        <w:ind w:firstLine="102" w:firstLineChars="49"/>
        <w:textAlignment w:val="baseline"/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填表人：           填报日期：        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联系电话：            单位负责人签字：</w:t>
      </w:r>
    </w:p>
    <w:p>
      <w:pPr>
        <w:spacing w:line="228" w:lineRule="auto"/>
        <w:ind w:firstLine="400"/>
        <w:rPr>
          <w:rFonts w:eastAsiaTheme="minorEastAsia"/>
          <w:sz w:val="20"/>
          <w:szCs w:val="20"/>
          <w:lang w:eastAsia="zh-CN"/>
        </w:rPr>
        <w:sectPr>
          <w:footerReference r:id="rId5" w:type="default"/>
          <w:footerReference r:id="rId6" w:type="even"/>
          <w:pgSz w:w="11907" w:h="16839"/>
          <w:pgMar w:top="2098" w:right="1474" w:bottom="1985" w:left="1474" w:header="0" w:footer="1588" w:gutter="0"/>
          <w:pgNumType w:fmt="numberInDash"/>
          <w:cols w:space="720" w:num="1"/>
          <w:titlePg/>
          <w:docGrid w:linePitch="286" w:charSpace="0"/>
        </w:sectPr>
      </w:pPr>
    </w:p>
    <w:p>
      <w:pPr>
        <w:spacing w:before="117" w:line="219" w:lineRule="auto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附件2</w:t>
      </w:r>
    </w:p>
    <w:p>
      <w:pPr>
        <w:spacing w:before="117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年度部门整体支出绩效自评表</w:t>
      </w:r>
    </w:p>
    <w:tbl>
      <w:tblPr>
        <w:tblStyle w:val="8"/>
        <w:tblpPr w:leftFromText="180" w:rightFromText="180" w:vertAnchor="text" w:horzAnchor="page" w:tblpX="805" w:tblpY="233"/>
        <w:tblOverlap w:val="never"/>
        <w:tblW w:w="997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069"/>
        <w:gridCol w:w="1029"/>
        <w:gridCol w:w="1249"/>
        <w:gridCol w:w="1298"/>
        <w:gridCol w:w="1269"/>
        <w:gridCol w:w="699"/>
        <w:gridCol w:w="869"/>
        <w:gridCol w:w="14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07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预算部门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名称</w:t>
            </w:r>
          </w:p>
        </w:tc>
        <w:tc>
          <w:tcPr>
            <w:tcW w:w="8905" w:type="dxa"/>
            <w:gridSpan w:val="8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中国共产主义青年团汨罗市委员会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年度预算申请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年初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预算数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执行数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执行率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年度资金总额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ind w:firstLine="420" w:firstLineChars="20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39.77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86.5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86.5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100.00%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 xml:space="preserve"> 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按收入性质分：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按支出性质分：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其中：一般公共预算：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86.5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其中：基本支出：42.09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政府性基金拨款：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项目支出：44.41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纳入专户管理的非税收入拨款：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left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其他资金：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</w:rPr>
              <w:t>目标</w:t>
            </w: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4645" w:type="dxa"/>
            <w:gridSpan w:val="4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在团省委、岳阳团市委、汨罗市委的坚强领导下，汨罗团市委切实履行引领凝聚青年、组织动员青年、联系服务青年的职责使命，扎实推进各项工作。</w:t>
            </w:r>
          </w:p>
        </w:tc>
        <w:tc>
          <w:tcPr>
            <w:tcW w:w="426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1、引领“青”思想，筑牢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青年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政治信念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2、团结“青”力量，服务党政中心大局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3、聚焦“青”需求，助力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青年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成长成才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4、深化“青”改革，激发基层团组织活力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ascii="仿宋_GB2312" w:eastAsia="仿宋_GB2312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5、树立“青”形象，推进清廉共青团建设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074" w:type="dxa"/>
            <w:vMerge w:val="restart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02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分析及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产出指标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(</w:t>
            </w:r>
            <w:r>
              <w:rPr>
                <w:rFonts w:hint="eastAsia" w:ascii="仿宋_GB2312" w:eastAsia="仿宋_GB2312"/>
                <w:kern w:val="0"/>
                <w:sz w:val="15"/>
                <w:szCs w:val="15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分</w:t>
            </w: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)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数量指标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召开会议次数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≥10次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10次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15"/>
                <w:szCs w:val="15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开展返乡大学生暑期社会实践活动批次数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≥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kern w:val="0"/>
              </w:rPr>
              <w:t>次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kern w:val="0"/>
              </w:rPr>
              <w:t>次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开展志愿服务活动次数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≥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kern w:val="0"/>
              </w:rPr>
              <w:t>次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kern w:val="0"/>
              </w:rPr>
              <w:t>次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举办青少年思想引领活动次数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≥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28</w:t>
            </w:r>
            <w:r>
              <w:rPr>
                <w:rFonts w:hint="eastAsia" w:ascii="仿宋_GB2312" w:eastAsia="仿宋_GB2312"/>
                <w:kern w:val="0"/>
              </w:rPr>
              <w:t>次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28</w:t>
            </w:r>
            <w:r>
              <w:rPr>
                <w:rFonts w:hint="eastAsia" w:ascii="仿宋_GB2312" w:eastAsia="仿宋_GB2312"/>
                <w:kern w:val="0"/>
              </w:rPr>
              <w:t>次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2.5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质量指标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提升共青团凝聚力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≥95%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≥9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kern w:val="0"/>
              </w:rPr>
              <w:t>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时效指标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完成时间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2022年全年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2022年全年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效益指标</w:t>
            </w: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分</w:t>
            </w: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)</w:t>
            </w: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经济效益指标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促进经济发展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有所提升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有所提升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社会效益指标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推动青少年事业的发展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有所提升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有所提升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生态效益指标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生态环境改善状况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有所改善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有所改善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可持续影响指标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持续预防青少年违法犯罪活动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持续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210" w:firstLineChars="100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持续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满意度指标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分</w:t>
            </w: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)</w:t>
            </w:r>
          </w:p>
        </w:tc>
        <w:tc>
          <w:tcPr>
            <w:tcW w:w="1029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5"/>
                <w:szCs w:val="15"/>
              </w:rPr>
              <w:t>服务对象满意度指标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社会公众满意度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≥95%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</w:rPr>
              <w:t>≥9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kern w:val="0"/>
              </w:rPr>
              <w:t>%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  <w:lang w:val="en-US" w:eastAsia="zh-CN"/>
              </w:rPr>
              <w:t>成本指标</w:t>
            </w:r>
          </w:p>
          <w:p>
            <w:pPr>
              <w:spacing w:line="240" w:lineRule="auto"/>
              <w:jc w:val="center"/>
              <w:rPr>
                <w:rFonts w:hint="default" w:ascii="仿宋_GB2312" w:eastAsia="仿宋_GB2312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  <w:lang w:val="en-US" w:eastAsia="zh-CN"/>
              </w:rPr>
              <w:t>（20分）</w:t>
            </w: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  <w:lang w:eastAsia="zh-CN"/>
              </w:rPr>
              <w:t>经济成本指标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预算批复金额</w:t>
            </w:r>
          </w:p>
        </w:tc>
        <w:tc>
          <w:tcPr>
            <w:tcW w:w="1298" w:type="dxa"/>
            <w:vAlign w:val="center"/>
          </w:tcPr>
          <w:p>
            <w:pPr>
              <w:tabs>
                <w:tab w:val="left" w:pos="677"/>
              </w:tabs>
              <w:spacing w:line="240" w:lineRule="auto"/>
              <w:ind w:firstLine="210" w:firstLineChars="100"/>
              <w:jc w:val="left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</w:rPr>
              <w:t>86.5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万元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210" w:firstLineChars="1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86.5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万元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  <w:lang w:eastAsia="zh-CN"/>
              </w:rPr>
              <w:t>社会成本指标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对社会发展可能造成的负面影响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eastAsia"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07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sz w:val="15"/>
                <w:szCs w:val="15"/>
              </w:rPr>
            </w:pPr>
          </w:p>
        </w:tc>
        <w:tc>
          <w:tcPr>
            <w:tcW w:w="1029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sz w:val="15"/>
                <w:szCs w:val="15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  <w:lang w:eastAsia="zh-CN"/>
              </w:rPr>
              <w:t>生态环境成本指标</w:t>
            </w:r>
          </w:p>
        </w:tc>
        <w:tc>
          <w:tcPr>
            <w:tcW w:w="1249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eastAsia="仿宋_GB2312"/>
                <w:kern w:val="0"/>
                <w:sz w:val="15"/>
                <w:szCs w:val="15"/>
              </w:rPr>
              <w:t>对自然生态环境造成的负面影响</w:t>
            </w:r>
          </w:p>
        </w:tc>
        <w:tc>
          <w:tcPr>
            <w:tcW w:w="1298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1269" w:type="dxa"/>
            <w:vAlign w:val="center"/>
          </w:tcPr>
          <w:p>
            <w:pPr>
              <w:spacing w:line="240" w:lineRule="auto"/>
              <w:ind w:firstLine="420" w:firstLineChars="0"/>
              <w:jc w:val="both"/>
              <w:rPr>
                <w:rFonts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无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eastAsia" w:ascii="仿宋_GB2312" w:hAnsi="Arial" w:eastAsia="仿宋_GB2312" w:cs="Arial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6988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总分</w:t>
            </w:r>
          </w:p>
        </w:tc>
        <w:tc>
          <w:tcPr>
            <w:tcW w:w="6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100</w:t>
            </w:r>
          </w:p>
        </w:tc>
        <w:tc>
          <w:tcPr>
            <w:tcW w:w="869" w:type="dxa"/>
            <w:vAlign w:val="center"/>
          </w:tcPr>
          <w:p>
            <w:pPr>
              <w:spacing w:line="240" w:lineRule="auto"/>
              <w:jc w:val="both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100</w:t>
            </w:r>
          </w:p>
        </w:tc>
        <w:tc>
          <w:tcPr>
            <w:tcW w:w="142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</w:tbl>
    <w:p>
      <w:pPr>
        <w:spacing w:line="237" w:lineRule="exact"/>
        <w:ind w:firstLine="420"/>
        <w:jc w:val="left"/>
        <w:rPr>
          <w:kern w:val="0"/>
          <w:lang w:eastAsia="zh-CN"/>
        </w:rPr>
      </w:pP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填表人：    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填报日期：         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联系电话：   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     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单位负责人签字：</w:t>
      </w:r>
      <w:r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  <w:t xml:space="preserve"> </w:t>
      </w:r>
    </w:p>
    <w:p>
      <w:pPr>
        <w:spacing w:line="267" w:lineRule="auto"/>
        <w:ind w:firstLine="552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附件4</w:t>
      </w: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ascii="方正小标宋简体" w:eastAsia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eastAsia="方正小标宋简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年度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中国共产主义青年团汨罗市委员会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部门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(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单位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)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整体支出绩效自评报告</w:t>
      </w: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  <w:t>部门(单位)名称：</w:t>
      </w: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u w:val="single"/>
          <w:lang w:val="en-US" w:eastAsia="zh-CN" w:bidi="ar-SA"/>
        </w:rPr>
        <w:t>中国共产主义青年团汨罗市委员会</w:t>
      </w:r>
    </w:p>
    <w:p>
      <w:pPr>
        <w:spacing w:before="274" w:line="225" w:lineRule="auto"/>
        <w:ind w:firstLine="617"/>
        <w:jc w:val="center"/>
        <w:rPr>
          <w:rFonts w:ascii="楷体_GB2312" w:hAnsi="楷体" w:eastAsia="楷体_GB2312" w:cs="楷体"/>
          <w:kern w:val="0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 xml:space="preserve">2023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 xml:space="preserve">年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>06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 xml:space="preserve"> 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eastAsia="zh-CN"/>
        </w:rPr>
        <w:t xml:space="preserve">月 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val="en-US" w:eastAsia="zh-CN"/>
        </w:rPr>
        <w:t>15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>日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sdt>
      <w:sdtPr>
        <w:rPr>
          <w:rFonts w:ascii="Arial" w:hAnsi="Arial" w:eastAsia="Arial" w:cs="Arial"/>
          <w:snapToGrid w:val="0"/>
          <w:color w:val="000000"/>
          <w:sz w:val="21"/>
          <w:szCs w:val="21"/>
          <w:lang w:val="en-US" w:eastAsia="en-US" w:bidi="ar-SA"/>
        </w:rPr>
        <w:id w:val="3580075"/>
        <w:docPartObj>
          <w:docPartGallery w:val="autotext"/>
        </w:docPartObj>
      </w:sdtPr>
      <w:sdtEndPr>
        <w:rPr>
          <w:rFonts w:hint="eastAsia" w:cs="Arial" w:asciiTheme="minorEastAsia" w:hAnsiTheme="minorEastAsia" w:eastAsiaTheme="minorEastAsia"/>
          <w:snapToGrid w:val="0"/>
          <w:color w:val="000000"/>
          <w:kern w:val="0"/>
          <w:sz w:val="28"/>
          <w:szCs w:val="28"/>
          <w:lang w:val="en-US" w:eastAsia="en-US" w:bidi="ar-SA"/>
        </w:rPr>
      </w:sdtEndPr>
      <w:sdtContent>
        <w:p>
          <w:pPr>
            <w:pStyle w:val="3"/>
            <w:ind w:firstLine="360"/>
            <w:jc w:val="left"/>
            <w:rPr>
              <w:rFonts w:asciiTheme="minorEastAsia" w:hAnsiTheme="minorEastAsia" w:eastAsiaTheme="minorEastAsia"/>
              <w:kern w:val="0"/>
              <w:lang w:eastAsia="zh-CN"/>
            </w:rPr>
          </w:pPr>
        </w:p>
      </w:sdtContent>
    </w:sdt>
    <w:p>
      <w:pPr>
        <w:spacing w:before="130" w:line="221" w:lineRule="auto"/>
        <w:jc w:val="center"/>
        <w:rPr>
          <w:rFonts w:ascii="黑体" w:hAnsi="黑体" w:eastAsia="黑体" w:cs="黑体"/>
          <w:spacing w:val="16"/>
          <w:sz w:val="40"/>
          <w:szCs w:val="40"/>
        </w:rPr>
      </w:pPr>
      <w:r>
        <w:rPr>
          <w:rFonts w:ascii="黑体" w:hAnsi="黑体" w:eastAsia="黑体" w:cs="黑体"/>
          <w:spacing w:val="16"/>
          <w:sz w:val="40"/>
          <w:szCs w:val="40"/>
        </w:rPr>
        <w:t>202</w:t>
      </w:r>
      <w:r>
        <w:rPr>
          <w:rFonts w:hint="eastAsia" w:ascii="黑体" w:hAnsi="黑体" w:eastAsia="黑体" w:cs="黑体"/>
          <w:spacing w:val="16"/>
          <w:sz w:val="40"/>
          <w:szCs w:val="40"/>
          <w:lang w:val="en-US" w:eastAsia="zh-CN"/>
        </w:rPr>
        <w:t>2</w:t>
      </w:r>
      <w:r>
        <w:rPr>
          <w:rFonts w:ascii="黑体" w:hAnsi="黑体" w:eastAsia="黑体" w:cs="黑体"/>
          <w:spacing w:val="16"/>
          <w:sz w:val="40"/>
          <w:szCs w:val="40"/>
        </w:rPr>
        <w:t xml:space="preserve"> 年度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中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国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共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产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主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义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青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年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团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汨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罗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市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委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员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-60"/>
          <w:sz w:val="40"/>
          <w:szCs w:val="40"/>
          <w:lang w:eastAsia="zh-CN"/>
        </w:rPr>
        <w:t>会</w:t>
      </w:r>
      <w:r>
        <w:rPr>
          <w:rFonts w:hint="eastAsia" w:ascii="黑体" w:hAnsi="黑体" w:eastAsia="黑体" w:cs="黑体"/>
          <w:spacing w:val="-60"/>
          <w:sz w:val="40"/>
          <w:szCs w:val="40"/>
          <w:lang w:val="en-US" w:eastAsia="zh-CN"/>
        </w:rPr>
        <w:t xml:space="preserve">  </w:t>
      </w:r>
      <w:r>
        <w:rPr>
          <w:rFonts w:ascii="黑体" w:hAnsi="黑体" w:eastAsia="黑体" w:cs="黑体"/>
          <w:spacing w:val="16"/>
          <w:sz w:val="40"/>
          <w:szCs w:val="40"/>
        </w:rPr>
        <w:t>部门整体支出绩效</w:t>
      </w:r>
    </w:p>
    <w:p>
      <w:pPr>
        <w:spacing w:before="130" w:line="221" w:lineRule="auto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自</w:t>
      </w:r>
      <w:r>
        <w:rPr>
          <w:rFonts w:ascii="黑体" w:hAnsi="黑体" w:eastAsia="黑体" w:cs="黑体"/>
          <w:spacing w:val="82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评</w:t>
      </w:r>
      <w:r>
        <w:rPr>
          <w:rFonts w:ascii="黑体" w:hAnsi="黑体" w:eastAsia="黑体" w:cs="黑体"/>
          <w:spacing w:val="79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报</w:t>
      </w:r>
      <w:r>
        <w:rPr>
          <w:rFonts w:ascii="黑体" w:hAnsi="黑体" w:eastAsia="黑体" w:cs="黑体"/>
          <w:spacing w:val="87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告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1" w:line="600" w:lineRule="atLeast"/>
        <w:ind w:firstLine="640"/>
        <w:jc w:val="both"/>
        <w:textAlignment w:val="baseline"/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部门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(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单位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)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基本情况</w:t>
      </w:r>
    </w:p>
    <w:p>
      <w:pPr>
        <w:keepNext w:val="0"/>
        <w:keepLines w:val="0"/>
        <w:pageBreakBefore w:val="0"/>
        <w:numPr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1" w:line="600" w:lineRule="atLeast"/>
        <w:jc w:val="both"/>
        <w:textAlignment w:val="baseline"/>
        <w:rPr>
          <w:rFonts w:hint="default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 xml:space="preserve">       </w:t>
      </w:r>
      <w:r>
        <w:rPr>
          <w:rFonts w:hint="eastAsia" w:ascii="仿宋" w:hAnsi="仿宋" w:eastAsia="仿宋" w:cs="仿宋"/>
          <w:snapToGrid w:val="0"/>
          <w:color w:val="auto"/>
          <w:sz w:val="32"/>
          <w:szCs w:val="32"/>
          <w:lang w:val="en-US" w:eastAsia="zh-CN" w:bidi="ar-SA"/>
        </w:rPr>
        <w:t>团市委主要职责为发挥好党的助手和后备军的作用，为党的事业教育、团结和带领青年；发挥好国家政权的重要社会支柱作用，积极协助政府管理好青年事务；参与社会协商对话、民主管理和民主监督，承担政府委托的有关青年工作事务。团市委内部所设单位办公室1个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atLeas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二、一般公共预算支出情况</w:t>
      </w:r>
    </w:p>
    <w:p>
      <w:pPr>
        <w:pStyle w:val="10"/>
        <w:keepNext w:val="0"/>
        <w:keepLines w:val="0"/>
        <w:pageBreakBefore w:val="0"/>
        <w:wordWrap/>
        <w:overflowPunct/>
        <w:topLinePunct w:val="0"/>
        <w:bidi w:val="0"/>
        <w:spacing w:line="600" w:lineRule="atLeast"/>
        <w:ind w:firstLine="643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/>
          <w:kern w:val="0"/>
          <w:sz w:val="32"/>
          <w:szCs w:val="32"/>
          <w:lang w:eastAsia="zh-CN"/>
        </w:rPr>
        <w:t>（一）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基本支出情况</w:t>
      </w:r>
    </w:p>
    <w:p>
      <w:pPr>
        <w:pStyle w:val="10"/>
        <w:keepNext w:val="0"/>
        <w:keepLines w:val="0"/>
        <w:pageBreakBefore w:val="0"/>
        <w:wordWrap/>
        <w:overflowPunct/>
        <w:topLinePunct w:val="0"/>
        <w:bidi w:val="0"/>
        <w:spacing w:line="600" w:lineRule="atLeast"/>
        <w:ind w:left="0" w:leftChars="0" w:firstLine="640" w:firstLineChars="200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年团市委基本支出</w:t>
      </w:r>
      <w:r>
        <w:rPr>
          <w:rFonts w:hint="eastAsia" w:ascii="仿宋" w:hAnsi="仿宋" w:eastAsia="仿宋" w:cs="仿宋"/>
          <w:kern w:val="0"/>
          <w:sz w:val="32"/>
          <w:szCs w:val="32"/>
        </w:rPr>
        <w:t>42.09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万元，其中人员经费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33.34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万元，主要用于人员工资及社保公积金缴纳等；日常公用经费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8.75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万元，主要用于日常办公开支。</w:t>
      </w:r>
    </w:p>
    <w:p>
      <w:pPr>
        <w:pStyle w:val="10"/>
        <w:keepNext w:val="0"/>
        <w:keepLines w:val="0"/>
        <w:pageBreakBefore w:val="0"/>
        <w:numPr>
          <w:ilvl w:val="0"/>
          <w:numId w:val="2"/>
        </w:numPr>
        <w:wordWrap/>
        <w:overflowPunct/>
        <w:topLinePunct w:val="0"/>
        <w:bidi w:val="0"/>
        <w:spacing w:line="600" w:lineRule="atLeast"/>
        <w:ind w:firstLine="643"/>
        <w:jc w:val="both"/>
        <w:rPr>
          <w:rFonts w:hint="default" w:ascii="Times New Roman" w:hAnsi="Times New Roman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项目支出情况</w:t>
      </w:r>
    </w:p>
    <w:p>
      <w:pPr>
        <w:pStyle w:val="10"/>
        <w:keepNext w:val="0"/>
        <w:keepLines w:val="0"/>
        <w:pageBreakBefore w:val="0"/>
        <w:numPr>
          <w:numId w:val="0"/>
        </w:numPr>
        <w:wordWrap/>
        <w:overflowPunct/>
        <w:topLinePunct w:val="0"/>
        <w:bidi w:val="0"/>
        <w:spacing w:line="600" w:lineRule="atLeast"/>
        <w:ind w:firstLine="640" w:firstLineChars="200"/>
        <w:jc w:val="both"/>
        <w:rPr>
          <w:rFonts w:hint="default" w:ascii="Times New Roman" w:hAnsi="Times New Roman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2022年项目资金共安排投入44.41万元。主要用于青少年事业发展专项经费、预防青少年违法犯罪专项经费、团建专项经费。</w:t>
      </w:r>
    </w:p>
    <w:p>
      <w:pPr>
        <w:keepNext w:val="0"/>
        <w:keepLines w:val="0"/>
        <w:pageBreakBefore w:val="0"/>
        <w:numPr>
          <w:numId w:val="0"/>
        </w:numPr>
        <w:wordWrap/>
        <w:overflowPunct/>
        <w:topLinePunct w:val="0"/>
        <w:bidi w:val="0"/>
        <w:spacing w:line="600" w:lineRule="atLeast"/>
        <w:ind w:left="640" w:leftChars="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三、政府性基金预算支出情况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atLeast"/>
        <w:ind w:firstLine="640" w:firstLineChars="200"/>
        <w:textAlignment w:val="auto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2022年本单位无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政府性基金预算支出</w:t>
      </w:r>
    </w:p>
    <w:p>
      <w:pPr>
        <w:keepNext w:val="0"/>
        <w:keepLines w:val="0"/>
        <w:pageBreakBefore w:val="0"/>
        <w:numPr>
          <w:ilvl w:val="0"/>
          <w:numId w:val="3"/>
        </w:numPr>
        <w:wordWrap/>
        <w:overflowPunct/>
        <w:topLinePunct w:val="0"/>
        <w:bidi w:val="0"/>
        <w:spacing w:line="600" w:lineRule="atLeas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国有资本经营预算支出情况</w:t>
      </w:r>
    </w:p>
    <w:p>
      <w:pPr>
        <w:keepNext w:val="0"/>
        <w:keepLines w:val="0"/>
        <w:pageBreakBefore w:val="0"/>
        <w:numPr>
          <w:ilvl w:val="0"/>
          <w:numId w:val="0"/>
        </w:numPr>
        <w:wordWrap/>
        <w:overflowPunct/>
        <w:topLinePunct w:val="0"/>
        <w:bidi w:val="0"/>
        <w:spacing w:line="600" w:lineRule="atLeast"/>
        <w:ind w:firstLine="640" w:firstLineChars="200"/>
        <w:jc w:val="both"/>
        <w:rPr>
          <w:rFonts w:hint="default" w:ascii="方正黑体_GBK" w:eastAsia="方正黑体_GBK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2022年本单位无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国有资本经营预算支出。</w:t>
      </w:r>
    </w:p>
    <w:p>
      <w:pPr>
        <w:keepNext w:val="0"/>
        <w:keepLines w:val="0"/>
        <w:pageBreakBefore w:val="0"/>
        <w:numPr>
          <w:ilvl w:val="0"/>
          <w:numId w:val="3"/>
        </w:numPr>
        <w:wordWrap/>
        <w:overflowPunct/>
        <w:topLinePunct w:val="0"/>
        <w:bidi w:val="0"/>
        <w:spacing w:line="600" w:lineRule="atLeast"/>
        <w:ind w:left="0" w:leftChars="0"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社会保险基金预算支出情况</w:t>
      </w:r>
    </w:p>
    <w:p>
      <w:pPr>
        <w:keepNext w:val="0"/>
        <w:keepLines w:val="0"/>
        <w:pageBreakBefore w:val="0"/>
        <w:numPr>
          <w:numId w:val="0"/>
        </w:numPr>
        <w:wordWrap/>
        <w:overflowPunct/>
        <w:topLinePunct w:val="0"/>
        <w:bidi w:val="0"/>
        <w:spacing w:line="600" w:lineRule="atLeas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2022年本单位无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社会保险基金预算支出。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atLeas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六、部门整体支出绩效情况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overflowPunct/>
        <w:topLinePunct w:val="0"/>
        <w:bidi w:val="0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（一）投入情况分析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overflowPunct/>
        <w:topLinePunct w:val="0"/>
        <w:bidi w:val="0"/>
        <w:spacing w:before="0" w:beforeAutospacing="0" w:after="0" w:afterAutospacing="0" w:line="600" w:lineRule="atLeast"/>
        <w:ind w:right="0"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结合部门职责职能，设定工作目标，根据工作目标预算部门经费，20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22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年收入合计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86.5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万元，年初结转和结余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0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万元，支出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86.5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万元，其中人员经费支出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33.34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万元，公用经费支出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8.75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万元，项目支出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44.41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万元，年末结转和结余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0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万元，保障单位干部职工工资及单位正常的运转。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overflowPunct/>
        <w:topLinePunct w:val="0"/>
        <w:bidi w:val="0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（二）过程情况分析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overflowPunct/>
        <w:topLinePunct w:val="0"/>
        <w:bidi w:val="0"/>
        <w:spacing w:before="0" w:beforeAutospacing="0" w:after="0" w:afterAutospacing="0" w:line="600" w:lineRule="atLeast"/>
        <w:ind w:right="0" w:firstLine="640" w:firstLineChars="200"/>
        <w:jc w:val="lef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严格预算执行，按照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财政要求有计划完成资金支付进度，202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年全年预算执行率达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100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%。进一步健全预算管理制度，并严格按照预算管理制度编制、申报、管理预算资金，实行收支两条线管理，做到预算管理公开化。规范资产管理，对固定资产的采购、使用、处置、管理工作进行了规范，实现了资产管理信息化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overflowPunct/>
        <w:topLinePunct w:val="0"/>
        <w:bidi w:val="0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）效果情况分析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2022年，是党的二十大召开之年，是中国共产主义青年团成立一百周年，也是汨罗市共青团县域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基层组织改革卓有成效的一年。一年来，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在团省委、岳阳团市委、汨罗市委的坚强领导下，汨罗团市委切实履行引领凝聚青年、组织动员青年、联系服务青年的职责使命，扎实推进各项工作。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是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引领“青”思想，筑牢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青年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政治信念；二是团结“青”力量，服务党政中心大局；三是聚焦“青”需求，助力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青年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成长成才；四是深化“青”改革，激发基层团组织活力；五是树立“青”形象，推进清廉共青团建设。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overflowPunct/>
        <w:topLinePunct w:val="0"/>
        <w:bidi w:val="0"/>
        <w:spacing w:before="0" w:beforeAutospacing="0" w:after="0" w:afterAutospacing="0" w:line="600" w:lineRule="atLeast"/>
        <w:ind w:right="0" w:firstLine="640" w:firstLineChars="200"/>
        <w:jc w:val="left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我单位结合部门预算申报、绩效目标、实际完成情况对比分析及项目开展的自评情况，202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年度我单位较好地完成了年初设定的各项项目绩效目标，自评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100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分，评价结果为优秀。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atLeas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七、存在的问题及原因分析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overflowPunct/>
        <w:topLinePunct w:val="0"/>
        <w:bidi w:val="0"/>
        <w:spacing w:before="0" w:beforeAutospacing="0" w:after="0" w:afterAutospacing="0" w:line="600" w:lineRule="atLeast"/>
        <w:ind w:left="0" w:right="0" w:firstLine="420"/>
        <w:jc w:val="left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（一）各相关股室对绩效评价工作的重要性认识有待进一步提高。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overflowPunct/>
        <w:topLinePunct w:val="0"/>
        <w:bidi w:val="0"/>
        <w:spacing w:before="0" w:beforeAutospacing="0" w:after="0" w:afterAutospacing="0" w:line="600" w:lineRule="atLeast"/>
        <w:ind w:left="0" w:right="0" w:firstLine="420"/>
        <w:jc w:val="left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</w:rPr>
        <w:t>（二）项目支出绩效评价指标体系不完善，给考核评价及评分工作带来一定的困难。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atLeas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八、下一步改进措施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atLeast"/>
        <w:ind w:firstLine="640" w:firstLineChars="200"/>
        <w:jc w:val="both"/>
        <w:rPr>
          <w:rFonts w:hint="default" w:ascii="方正黑体_GBK" w:eastAsia="方正黑体_GBK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针对上述存在的问题，我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单位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已作出工作要求，加强对项目开展的可行性、必要性做好充分调研，依据实际情况做好经费支出预算，制定合理的项目实施计划；项目实施前期，做好各项准备工作；在实施阶段，做好监督，跟踪管理；实施后及时总结自评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4"/>
        </w:numPr>
        <w:wordWrap/>
        <w:overflowPunct/>
        <w:topLinePunct w:val="0"/>
        <w:bidi w:val="0"/>
        <w:spacing w:line="600" w:lineRule="atLeas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部门整体支出绩效自评结果拟应用和公开情况</w:t>
      </w:r>
    </w:p>
    <w:p>
      <w:pPr>
        <w:keepNext w:val="0"/>
        <w:keepLines w:val="0"/>
        <w:pageBreakBefore w:val="0"/>
        <w:numPr>
          <w:numId w:val="0"/>
        </w:numPr>
        <w:wordWrap/>
        <w:overflowPunct/>
        <w:topLinePunct w:val="0"/>
        <w:bidi w:val="0"/>
        <w:spacing w:line="600" w:lineRule="atLeast"/>
        <w:ind w:firstLine="600" w:firstLineChars="200"/>
        <w:jc w:val="both"/>
        <w:rPr>
          <w:rFonts w:hint="default" w:ascii="方正黑体_GBK" w:eastAsia="方正黑体_GBK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0"/>
          <w:szCs w:val="30"/>
          <w:lang w:eastAsia="zh-CN"/>
        </w:rPr>
        <w:t>通过整体支出绩效自评，一是增强了单位的绩效评价主体责任意识；二是制定了部门绩效管理办法及项目工作实施方案，建立了长效机制；三是促进单位规范使用项目资金；四是绩效评价结果作为分配上级财政预算项目资金的重要依据。</w:t>
      </w:r>
    </w:p>
    <w:p>
      <w:pPr>
        <w:keepNext w:val="0"/>
        <w:keepLines w:val="0"/>
        <w:pageBreakBefore w:val="0"/>
        <w:numPr>
          <w:ilvl w:val="0"/>
          <w:numId w:val="4"/>
        </w:numPr>
        <w:wordWrap/>
        <w:overflowPunct/>
        <w:topLinePunct w:val="0"/>
        <w:bidi w:val="0"/>
        <w:spacing w:line="600" w:lineRule="atLeast"/>
        <w:ind w:left="0" w:leftChars="0" w:firstLine="640" w:firstLineChars="200"/>
        <w:jc w:val="both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其他需要说明的情况</w:t>
      </w:r>
    </w:p>
    <w:p>
      <w:pPr>
        <w:keepNext w:val="0"/>
        <w:keepLines w:val="0"/>
        <w:pageBreakBefore w:val="0"/>
        <w:numPr>
          <w:numId w:val="0"/>
        </w:numPr>
        <w:wordWrap/>
        <w:overflowPunct/>
        <w:topLinePunct w:val="0"/>
        <w:bidi w:val="0"/>
        <w:spacing w:line="600" w:lineRule="atLeast"/>
        <w:ind w:left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无</w:t>
      </w:r>
      <w:bookmarkStart w:id="0" w:name="_GoBack"/>
      <w:bookmarkEnd w:id="0"/>
    </w:p>
    <w:sectPr>
      <w:footerReference r:id="rId7" w:type="default"/>
      <w:pgSz w:w="11900" w:h="16820"/>
      <w:pgMar w:top="1755" w:right="1227" w:bottom="1485" w:left="1011" w:header="0" w:footer="9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7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  <w:sz w:val="28"/>
            <w:szCs w:val="28"/>
          </w:rPr>
        </w:pPr>
      </w:p>
    </w:sdtContent>
  </w:sdt>
  <w:p>
    <w:pPr>
      <w:spacing w:before="1" w:line="175" w:lineRule="auto"/>
      <w:ind w:left="444"/>
      <w:jc w:val="left"/>
      <w:rPr>
        <w:rFonts w:ascii="宋体" w:hAnsi="宋体" w:eastAsia="宋体" w:cs="宋体"/>
        <w:kern w:val="0"/>
        <w:sz w:val="26"/>
        <w:szCs w:val="2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6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left"/>
          <w:rPr>
            <w:rFonts w:asciiTheme="minorEastAsia" w:hAnsiTheme="minorEastAsia" w:eastAsiaTheme="minorEastAsia"/>
            <w:kern w:val="0"/>
            <w:sz w:val="28"/>
            <w:szCs w:val="28"/>
          </w:rPr>
        </w:pP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kern w:val="0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end"/>
        </w:r>
      </w:p>
    </w:sdtContent>
  </w:sdt>
  <w:p>
    <w:pPr>
      <w:pStyle w:val="3"/>
      <w:jc w:val="left"/>
      <w:rPr>
        <w:rFonts w:eastAsiaTheme="minorEastAsia"/>
        <w:kern w:val="0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274"/>
      <w:rPr>
        <w:rFonts w:ascii="宋体" w:hAnsi="宋体" w:eastAsia="宋体" w:cs="宋体"/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FCAB8C"/>
    <w:multiLevelType w:val="singleLevel"/>
    <w:tmpl w:val="90FCAB8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CD0CC43"/>
    <w:multiLevelType w:val="singleLevel"/>
    <w:tmpl w:val="9CD0CC43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8296413"/>
    <w:multiLevelType w:val="singleLevel"/>
    <w:tmpl w:val="E829641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2A8837AA"/>
    <w:multiLevelType w:val="singleLevel"/>
    <w:tmpl w:val="2A8837AA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TY5MTEwNTExODM1OWUyNGRkYmM2OWQxNTNhYTYyOGEifQ=="/>
  </w:docVars>
  <w:rsids>
    <w:rsidRoot w:val="00000000"/>
    <w:rsid w:val="01AF3811"/>
    <w:rsid w:val="03795BF7"/>
    <w:rsid w:val="086E756B"/>
    <w:rsid w:val="0ACF37E5"/>
    <w:rsid w:val="0B400BC6"/>
    <w:rsid w:val="0E68228D"/>
    <w:rsid w:val="15276E52"/>
    <w:rsid w:val="19D32FBC"/>
    <w:rsid w:val="1C513177"/>
    <w:rsid w:val="1E6A4395"/>
    <w:rsid w:val="23190767"/>
    <w:rsid w:val="25557A3D"/>
    <w:rsid w:val="26EA5ED7"/>
    <w:rsid w:val="27A93B82"/>
    <w:rsid w:val="2AE00186"/>
    <w:rsid w:val="308216BE"/>
    <w:rsid w:val="34FE1149"/>
    <w:rsid w:val="3A550786"/>
    <w:rsid w:val="3B7A130F"/>
    <w:rsid w:val="405F20C5"/>
    <w:rsid w:val="4F8B6063"/>
    <w:rsid w:val="52FA3F96"/>
    <w:rsid w:val="55592760"/>
    <w:rsid w:val="55850F17"/>
    <w:rsid w:val="57AE6D93"/>
    <w:rsid w:val="58C4280F"/>
    <w:rsid w:val="5DB9234F"/>
    <w:rsid w:val="5FB623A7"/>
    <w:rsid w:val="64835465"/>
    <w:rsid w:val="6DE611E8"/>
    <w:rsid w:val="6E3851B0"/>
    <w:rsid w:val="73B1141D"/>
    <w:rsid w:val="79DE1D46"/>
    <w:rsid w:val="7ED677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autoRedefine/>
    <w:qFormat/>
    <w:uiPriority w:val="99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hAnsi="Arial" w:eastAsia="Arial" w:cs="Arial"/>
      <w:snapToGrid w:val="0"/>
      <w:color w:val="000000"/>
      <w:sz w:val="18"/>
      <w:szCs w:val="18"/>
      <w:lang w:val="en-US" w:eastAsia="en-US" w:bidi="ar-SA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10">
    <w:name w:val="List Paragraph"/>
    <w:autoRedefine/>
    <w:unhideWhenUsed/>
    <w:qFormat/>
    <w:uiPriority w:val="99"/>
    <w:pPr>
      <w:kinsoku w:val="0"/>
      <w:autoSpaceDE w:val="0"/>
      <w:autoSpaceDN w:val="0"/>
      <w:adjustRightInd w:val="0"/>
      <w:snapToGrid w:val="0"/>
      <w:ind w:firstLine="420" w:firstLineChars="20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1893</Words>
  <Characters>1955</Characters>
  <TotalTime>2</TotalTime>
  <ScaleCrop>false</ScaleCrop>
  <LinksUpToDate>false</LinksUpToDate>
  <CharactersWithSpaces>2120</CharactersWithSpaces>
  <Application>WPS Office_12.1.0.16910_F1E327BC-269C-435d-A152-05C5408002CA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2024-04-19T21:25:00Z</dcterms:created>
  <dc:creator>Administrator</dc:creator>
  <cp:lastModifiedBy>Administrator</cp:lastModifiedBy>
  <cp:lastPrinted>2024-05-21T14:05:00Z</cp:lastPrinted>
  <dcterms:modified xsi:type="dcterms:W3CDTF">2024-07-05T07:17:40Z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2052-12.1.0.16910</vt:lpwstr>
  </property>
  <property fmtid="{D5CDD505-2E9C-101B-9397-08002B2CF9AE}" pid="6" name="ICV">
    <vt:lpwstr>A1E9AC54BF58440288AD196632C2A254_12</vt:lpwstr>
  </property>
</Properties>
</file>