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1.79</w:t>
            </w:r>
          </w:p>
        </w:tc>
        <w:tc>
          <w:tcPr>
            <w:tcW w:w="2039" w:type="dxa"/>
            <w:gridSpan w:val="2"/>
            <w:vAlign w:val="center"/>
          </w:tcPr>
          <w:p>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6.2</w:t>
            </w:r>
          </w:p>
        </w:tc>
        <w:tc>
          <w:tcPr>
            <w:tcW w:w="1983" w:type="dxa"/>
            <w:gridSpan w:val="2"/>
            <w:vAlign w:val="center"/>
          </w:tcPr>
          <w:p>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1.79</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154.5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14"/>
                <w:szCs w:val="14"/>
                <w:u w:val="none"/>
                <w:lang w:val="en-US" w:eastAsia="zh-CN" w:bidi="ar-SA"/>
              </w:rPr>
            </w:pPr>
            <w:r>
              <w:rPr>
                <w:rFonts w:hint="eastAsia" w:ascii="仿宋_GB2312" w:hAnsi="宋体" w:eastAsia="仿宋_GB2312" w:cs="宋体"/>
                <w:kern w:val="0"/>
                <w:lang w:val="en-US" w:eastAsia="zh-CN"/>
              </w:rPr>
              <w:t>残疾人康复资金</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32.5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3271"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14"/>
                <w:szCs w:val="14"/>
                <w:u w:val="none"/>
                <w:lang w:val="en-US" w:eastAsia="zh-CN" w:bidi="ar-SA"/>
              </w:rPr>
            </w:pPr>
            <w:r>
              <w:rPr>
                <w:rFonts w:hint="eastAsia" w:ascii="仿宋_GB2312" w:hAnsi="宋体" w:eastAsia="仿宋_GB2312" w:cs="宋体"/>
                <w:kern w:val="0"/>
                <w:lang w:val="en-US" w:eastAsia="zh-CN"/>
              </w:rPr>
              <w:t>其他残疾人事业支出</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4.29</w:t>
            </w:r>
          </w:p>
        </w:tc>
        <w:tc>
          <w:tcPr>
            <w:tcW w:w="2039" w:type="dxa"/>
            <w:gridSpan w:val="2"/>
            <w:vAlign w:val="center"/>
          </w:tcPr>
          <w:p>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4.03</w:t>
            </w:r>
          </w:p>
        </w:tc>
        <w:tc>
          <w:tcPr>
            <w:tcW w:w="1983" w:type="dxa"/>
            <w:gridSpan w:val="2"/>
            <w:vAlign w:val="center"/>
          </w:tcPr>
          <w:p>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4.03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8.91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8.37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58"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60"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1079"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1039"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44"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狄红岱</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2024.6.25</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13517307865</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曾祥中</w:t>
      </w:r>
    </w:p>
    <w:p>
      <w:pPr>
        <w:spacing w:line="228" w:lineRule="auto"/>
        <w:ind w:firstLine="400"/>
        <w:rPr>
          <w:rFonts w:eastAsiaTheme="minorEastAsia"/>
          <w:sz w:val="20"/>
          <w:szCs w:val="20"/>
          <w:lang w:eastAsia="zh-CN"/>
        </w:rPr>
        <w:sectPr>
          <w:footerReference r:id="rId5" w:type="default"/>
          <w:footerReference r:id="rId6" w:type="even"/>
          <w:pgSz w:w="11907" w:h="16839"/>
          <w:pgMar w:top="1474" w:right="1474" w:bottom="1984" w:left="1474" w:header="0" w:footer="1587" w:gutter="0"/>
          <w:pgNumType w:fmt="numberInDash"/>
          <w:cols w:space="0" w:num="1"/>
          <w:titlePg/>
          <w:rtlGutter w:val="0"/>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ascii="仿宋_GB2312" w:eastAsia="仿宋_GB2312"/>
                <w:kern w:val="0"/>
              </w:rPr>
            </w:pPr>
            <w:r>
              <w:rPr>
                <w:rFonts w:hint="eastAsia" w:ascii="仿宋_GB2312" w:eastAsia="仿宋_GB2312"/>
                <w:kern w:val="0"/>
              </w:rPr>
              <w:t>汨罗市残疾人联合会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504.5</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504.5</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894.92</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177.3%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r>
              <w:rPr>
                <w:rFonts w:hint="eastAsia" w:ascii="仿宋_GB2312" w:eastAsia="仿宋_GB2312"/>
                <w:kern w:val="0"/>
                <w:lang w:val="en-US" w:eastAsia="zh-CN"/>
              </w:rPr>
              <w:t>504.5</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r>
              <w:rPr>
                <w:rFonts w:hint="eastAsia" w:ascii="仿宋_GB2312" w:eastAsia="仿宋_GB2312"/>
                <w:kern w:val="0"/>
              </w:rPr>
              <w:t>894.92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lang w:eastAsia="zh-CN"/>
              </w:rPr>
            </w:pPr>
            <w:r>
              <w:rPr>
                <w:rFonts w:hint="eastAsia" w:ascii="仿宋_GB2312" w:hAnsi="宋体" w:eastAsia="仿宋_GB2312" w:cs="宋体"/>
                <w:kern w:val="0"/>
                <w:lang w:eastAsia="zh-CN"/>
              </w:rPr>
              <w:t>其中：一般公共预算：</w:t>
            </w:r>
            <w:r>
              <w:rPr>
                <w:rFonts w:hint="eastAsia" w:ascii="仿宋_GB2312" w:eastAsia="仿宋_GB2312"/>
                <w:kern w:val="0"/>
                <w:lang w:val="en-US" w:eastAsia="zh-CN"/>
              </w:rPr>
              <w:t>504.5</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其中：基本支出：463.81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项目支出：431.11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7"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center"/>
              <w:rPr>
                <w:rFonts w:ascii="仿宋_GB2312" w:eastAsia="仿宋_GB2312"/>
                <w:kern w:val="0"/>
              </w:rPr>
            </w:pPr>
            <w:r>
              <w:rPr>
                <w:rFonts w:hint="eastAsia" w:ascii="仿宋_GB2312" w:eastAsia="仿宋_GB2312"/>
                <w:kern w:val="0"/>
              </w:rPr>
              <w:t>一是听取残疾人意见，反映残疾人需求，维护残疾人权益，为残疾人服务。二是团结教育残疾人遵守法律，履行应尽的义务，发扬乐观进取精神，自尊、自信、自强、自立，为社会主义建设贡献力量。三是弘扬人道主义精神，宣传残疾人事业，受政府委托发展残疾人事业、管理残疾人，动员社会理解、尊重、关心、帮助残疾人。四是协同有关部门开展残疾人康复、教育、劳动就业、扶贫、文化、体育、科研、用品用具供应、福利、社会服务、无障碍设施和残疾预防工作，创造良好的环境和条件，扶助残疾人平等参与社会生活。五是协助政府研究、拟定和实施残疾人事业的地方性法规、政策、规划和计划，对有关业务进行指导和管理。六是承担政府残疾人工作委员会日常工作，做好综合、组织、协调和服务。七是会同有关部门指导和管理各类残疾人社团组织。八是承办市委、市人民政府交办的其他事项。</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eastAsia="仿宋_GB2312"/>
                <w:kern w:val="0"/>
              </w:rPr>
              <w:t>2022年，我们通过残疾人就业保障金项目，乡镇助残全覆盖、残疾儿童康复救助144人，创业扶持20户，精准扶贫村1个，需求数据动态更新1.78万人，困难残疾人家庭无障碍改造120户，困难残疾人救助350人/次，发放辅助器具400余件，资助残疾学生及残疾人家庭学生126人，救助盲人近500人。通过检查验收，资金及时足额发放到位，残疾人在困难救助、创业扶持、康复、扶贫、需求数据动态更新等方面需求得到满足，生产生活条件有进一步改善，项目影响力进一步扩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数量指标</w:t>
            </w:r>
          </w:p>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1.白内障复明手术</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120例</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120例</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continue"/>
            <w:vAlign w:val="center"/>
          </w:tcPr>
          <w:p>
            <w:pPr>
              <w:spacing w:line="240" w:lineRule="auto"/>
              <w:jc w:val="center"/>
              <w:rPr>
                <w:rFonts w:hint="eastAsia" w:ascii="仿宋_GB2312" w:eastAsia="仿宋_GB2312"/>
                <w:kern w:val="0"/>
              </w:rPr>
            </w:pPr>
          </w:p>
        </w:tc>
        <w:tc>
          <w:tcPr>
            <w:tcW w:w="1029" w:type="dxa"/>
            <w:vMerge w:val="continue"/>
            <w:vAlign w:val="center"/>
          </w:tcPr>
          <w:p>
            <w:pPr>
              <w:spacing w:line="240" w:lineRule="auto"/>
              <w:jc w:val="center"/>
              <w:rPr>
                <w:rFonts w:hint="eastAsia" w:ascii="仿宋_GB2312" w:hAnsi="宋体" w:eastAsia="仿宋_GB2312" w:cs="宋体"/>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2：残疾人无障碍改造</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150户</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150户</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continue"/>
            <w:vAlign w:val="center"/>
          </w:tcPr>
          <w:p>
            <w:pPr>
              <w:spacing w:line="240" w:lineRule="auto"/>
              <w:jc w:val="center"/>
              <w:rPr>
                <w:rFonts w:hint="eastAsia" w:ascii="仿宋_GB2312" w:eastAsia="仿宋_GB2312"/>
                <w:kern w:val="0"/>
              </w:rPr>
            </w:pPr>
          </w:p>
        </w:tc>
        <w:tc>
          <w:tcPr>
            <w:tcW w:w="1029" w:type="dxa"/>
            <w:vMerge w:val="continue"/>
            <w:vAlign w:val="center"/>
          </w:tcPr>
          <w:p>
            <w:pPr>
              <w:spacing w:line="240" w:lineRule="auto"/>
              <w:jc w:val="center"/>
              <w:rPr>
                <w:rFonts w:hint="eastAsia" w:ascii="仿宋_GB2312" w:hAnsi="宋体" w:eastAsia="仿宋_GB2312" w:cs="宋体"/>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3：残疾人康复</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150人</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150人</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continue"/>
            <w:vAlign w:val="center"/>
          </w:tcPr>
          <w:p>
            <w:pPr>
              <w:spacing w:line="240" w:lineRule="auto"/>
              <w:jc w:val="center"/>
              <w:rPr>
                <w:rFonts w:hint="eastAsia" w:ascii="仿宋_GB2312" w:eastAsia="仿宋_GB2312"/>
                <w:kern w:val="0"/>
              </w:rPr>
            </w:pPr>
          </w:p>
        </w:tc>
        <w:tc>
          <w:tcPr>
            <w:tcW w:w="1029" w:type="dxa"/>
            <w:vMerge w:val="continue"/>
            <w:vAlign w:val="center"/>
          </w:tcPr>
          <w:p>
            <w:pPr>
              <w:spacing w:line="240" w:lineRule="auto"/>
              <w:jc w:val="center"/>
              <w:rPr>
                <w:rFonts w:hint="eastAsia" w:ascii="仿宋_GB2312" w:hAnsi="宋体" w:eastAsia="仿宋_GB2312" w:cs="宋体"/>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4：扶残助学</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150人</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150人</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continue"/>
            <w:vAlign w:val="center"/>
          </w:tcPr>
          <w:p>
            <w:pPr>
              <w:spacing w:line="240" w:lineRule="auto"/>
              <w:jc w:val="center"/>
              <w:rPr>
                <w:rFonts w:hint="eastAsia" w:ascii="仿宋_GB2312" w:eastAsia="仿宋_GB2312"/>
                <w:kern w:val="0"/>
              </w:rPr>
            </w:pPr>
          </w:p>
        </w:tc>
        <w:tc>
          <w:tcPr>
            <w:tcW w:w="1029" w:type="dxa"/>
            <w:vMerge w:val="continue"/>
            <w:vAlign w:val="center"/>
          </w:tcPr>
          <w:p>
            <w:pPr>
              <w:spacing w:line="240" w:lineRule="auto"/>
              <w:jc w:val="center"/>
              <w:rPr>
                <w:rFonts w:hint="eastAsia" w:ascii="仿宋_GB2312" w:hAnsi="宋体" w:eastAsia="仿宋_GB2312" w:cs="宋体"/>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5：踩士支出</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52人</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52人</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continue"/>
            <w:vAlign w:val="center"/>
          </w:tcPr>
          <w:p>
            <w:pPr>
              <w:spacing w:line="240" w:lineRule="auto"/>
              <w:jc w:val="center"/>
              <w:rPr>
                <w:rFonts w:hint="eastAsia" w:ascii="仿宋_GB2312" w:eastAsia="仿宋_GB2312"/>
                <w:kern w:val="0"/>
              </w:rPr>
            </w:pPr>
          </w:p>
        </w:tc>
        <w:tc>
          <w:tcPr>
            <w:tcW w:w="1029" w:type="dxa"/>
            <w:vMerge w:val="continue"/>
            <w:vAlign w:val="center"/>
          </w:tcPr>
          <w:p>
            <w:pPr>
              <w:spacing w:line="240" w:lineRule="auto"/>
              <w:jc w:val="center"/>
              <w:rPr>
                <w:rFonts w:hint="eastAsia" w:ascii="仿宋_GB2312" w:hAnsi="宋体" w:eastAsia="仿宋_GB2312" w:cs="宋体"/>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6：残疾人状况需求调查</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17000人</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17000人</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continue"/>
            <w:vAlign w:val="center"/>
          </w:tcPr>
          <w:p>
            <w:pPr>
              <w:spacing w:line="240" w:lineRule="auto"/>
              <w:jc w:val="center"/>
              <w:rPr>
                <w:rFonts w:ascii="仿宋_GB2312" w:eastAsia="仿宋_GB2312"/>
                <w:kern w:val="0"/>
              </w:rPr>
            </w:pPr>
          </w:p>
        </w:tc>
        <w:tc>
          <w:tcPr>
            <w:tcW w:w="1029" w:type="dxa"/>
            <w:vMerge w:val="continue"/>
            <w:vAlign w:val="center"/>
          </w:tcPr>
          <w:p>
            <w:pPr>
              <w:spacing w:line="240" w:lineRule="auto"/>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7：残疾人精准康复</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150人</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150人</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8:40,50人员补助</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2人</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2人</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9：残疾人维稳</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12次</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12次</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2547" w:type="dxa"/>
            <w:gridSpan w:val="2"/>
            <w:vMerge w:val="restart"/>
            <w:vAlign w:val="center"/>
          </w:tcPr>
          <w:p>
            <w:pPr>
              <w:spacing w:line="240" w:lineRule="auto"/>
              <w:ind w:firstLine="420"/>
              <w:jc w:val="center"/>
              <w:rPr>
                <w:rFonts w:ascii="仿宋_GB2312" w:eastAsia="仿宋_GB2312"/>
                <w:kern w:val="0"/>
              </w:rPr>
            </w:pPr>
            <w:r>
              <w:rPr>
                <w:rFonts w:hint="eastAsia" w:ascii="仿宋_GB2312" w:eastAsia="仿宋_GB2312"/>
                <w:kern w:val="0"/>
              </w:rPr>
              <w:t>在项目年度内保证完成任务</w:t>
            </w:r>
          </w:p>
        </w:tc>
        <w:tc>
          <w:tcPr>
            <w:tcW w:w="1269" w:type="dxa"/>
            <w:vMerge w:val="restart"/>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Merge w:val="restart"/>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c>
          <w:tcPr>
            <w:tcW w:w="869" w:type="dxa"/>
            <w:vMerge w:val="restart"/>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2547" w:type="dxa"/>
            <w:gridSpan w:val="2"/>
            <w:vMerge w:val="continue"/>
            <w:vAlign w:val="center"/>
          </w:tcPr>
          <w:p>
            <w:pPr>
              <w:spacing w:line="240" w:lineRule="auto"/>
              <w:jc w:val="both"/>
              <w:rPr>
                <w:rFonts w:ascii="仿宋_GB2312" w:eastAsia="仿宋_GB2312"/>
                <w:kern w:val="0"/>
              </w:rPr>
            </w:pPr>
          </w:p>
        </w:tc>
        <w:tc>
          <w:tcPr>
            <w:tcW w:w="1269" w:type="dxa"/>
            <w:vMerge w:val="continue"/>
            <w:vAlign w:val="center"/>
          </w:tcPr>
          <w:p>
            <w:pPr>
              <w:spacing w:line="240" w:lineRule="auto"/>
              <w:ind w:firstLine="420"/>
              <w:jc w:val="center"/>
              <w:rPr>
                <w:rFonts w:ascii="仿宋_GB2312" w:eastAsia="仿宋_GB2312"/>
                <w:kern w:val="0"/>
              </w:rPr>
            </w:pPr>
          </w:p>
        </w:tc>
        <w:tc>
          <w:tcPr>
            <w:tcW w:w="699" w:type="dxa"/>
            <w:vMerge w:val="continue"/>
            <w:vAlign w:val="center"/>
          </w:tcPr>
          <w:p>
            <w:pPr>
              <w:spacing w:line="240" w:lineRule="auto"/>
              <w:ind w:firstLine="420"/>
              <w:jc w:val="center"/>
              <w:rPr>
                <w:rFonts w:ascii="仿宋_GB2312" w:eastAsia="仿宋_GB2312"/>
                <w:kern w:val="0"/>
              </w:rPr>
            </w:pPr>
          </w:p>
        </w:tc>
        <w:tc>
          <w:tcPr>
            <w:tcW w:w="869" w:type="dxa"/>
            <w:vMerge w:val="continue"/>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2547" w:type="dxa"/>
            <w:gridSpan w:val="2"/>
            <w:vMerge w:val="restart"/>
            <w:vAlign w:val="center"/>
          </w:tcPr>
          <w:p>
            <w:pPr>
              <w:spacing w:line="240" w:lineRule="auto"/>
              <w:ind w:firstLine="420"/>
              <w:jc w:val="center"/>
              <w:rPr>
                <w:rFonts w:ascii="仿宋_GB2312" w:eastAsia="仿宋_GB2312"/>
                <w:kern w:val="0"/>
              </w:rPr>
            </w:pPr>
            <w:r>
              <w:rPr>
                <w:rFonts w:hint="eastAsia" w:ascii="仿宋_GB2312" w:eastAsia="仿宋_GB2312"/>
                <w:kern w:val="0"/>
              </w:rPr>
              <w:t>节约成本，提高资金的使用效益</w:t>
            </w:r>
          </w:p>
        </w:tc>
        <w:tc>
          <w:tcPr>
            <w:tcW w:w="1269" w:type="dxa"/>
            <w:vMerge w:val="restart"/>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Merge w:val="restart"/>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Merge w:val="restart"/>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9</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2547" w:type="dxa"/>
            <w:gridSpan w:val="2"/>
            <w:vMerge w:val="continue"/>
            <w:vAlign w:val="center"/>
          </w:tcPr>
          <w:p>
            <w:pPr>
              <w:spacing w:line="240" w:lineRule="auto"/>
              <w:ind w:firstLine="420"/>
              <w:jc w:val="center"/>
              <w:rPr>
                <w:rFonts w:ascii="仿宋_GB2312" w:eastAsia="仿宋_GB2312"/>
                <w:kern w:val="0"/>
              </w:rPr>
            </w:pPr>
          </w:p>
        </w:tc>
        <w:tc>
          <w:tcPr>
            <w:tcW w:w="1269" w:type="dxa"/>
            <w:vMerge w:val="continue"/>
            <w:vAlign w:val="center"/>
          </w:tcPr>
          <w:p>
            <w:pPr>
              <w:spacing w:line="240" w:lineRule="auto"/>
              <w:ind w:firstLine="420"/>
              <w:jc w:val="center"/>
              <w:rPr>
                <w:rFonts w:ascii="仿宋_GB2312" w:eastAsia="仿宋_GB2312"/>
                <w:kern w:val="0"/>
              </w:rPr>
            </w:pPr>
          </w:p>
        </w:tc>
        <w:tc>
          <w:tcPr>
            <w:tcW w:w="699" w:type="dxa"/>
            <w:vMerge w:val="continue"/>
            <w:vAlign w:val="center"/>
          </w:tcPr>
          <w:p>
            <w:pPr>
              <w:spacing w:line="240" w:lineRule="auto"/>
              <w:ind w:firstLine="420"/>
              <w:jc w:val="center"/>
              <w:rPr>
                <w:rFonts w:ascii="仿宋_GB2312" w:eastAsia="仿宋_GB2312"/>
                <w:kern w:val="0"/>
              </w:rPr>
            </w:pPr>
          </w:p>
        </w:tc>
        <w:tc>
          <w:tcPr>
            <w:tcW w:w="869" w:type="dxa"/>
            <w:vMerge w:val="continue"/>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3816" w:type="dxa"/>
            <w:gridSpan w:val="3"/>
            <w:vMerge w:val="restart"/>
            <w:vAlign w:val="center"/>
          </w:tcPr>
          <w:p>
            <w:pPr>
              <w:spacing w:line="240" w:lineRule="auto"/>
              <w:ind w:firstLine="420"/>
              <w:jc w:val="center"/>
              <w:rPr>
                <w:rFonts w:ascii="仿宋_GB2312" w:eastAsia="仿宋_GB2312"/>
                <w:kern w:val="0"/>
              </w:rPr>
            </w:pPr>
            <w:r>
              <w:rPr>
                <w:rFonts w:hint="eastAsia" w:ascii="仿宋_GB2312" w:eastAsia="仿宋_GB2312"/>
                <w:kern w:val="0"/>
              </w:rPr>
              <w:t>扶助残疾人平等充公参与社会活动，共享社会物质和文化成果</w:t>
            </w:r>
          </w:p>
        </w:tc>
        <w:tc>
          <w:tcPr>
            <w:tcW w:w="699" w:type="dxa"/>
            <w:vMerge w:val="restart"/>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Merge w:val="restart"/>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4</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3816" w:type="dxa"/>
            <w:gridSpan w:val="3"/>
            <w:vMerge w:val="continue"/>
            <w:vAlign w:val="center"/>
          </w:tcPr>
          <w:p>
            <w:pPr>
              <w:spacing w:line="240" w:lineRule="auto"/>
              <w:ind w:firstLine="420"/>
              <w:jc w:val="center"/>
              <w:rPr>
                <w:rFonts w:ascii="仿宋_GB2312" w:eastAsia="仿宋_GB2312"/>
                <w:kern w:val="0"/>
              </w:rPr>
            </w:pPr>
          </w:p>
        </w:tc>
        <w:tc>
          <w:tcPr>
            <w:tcW w:w="699" w:type="dxa"/>
            <w:vMerge w:val="continue"/>
            <w:vAlign w:val="center"/>
          </w:tcPr>
          <w:p>
            <w:pPr>
              <w:spacing w:line="240" w:lineRule="auto"/>
              <w:ind w:firstLine="420"/>
              <w:jc w:val="center"/>
              <w:rPr>
                <w:rFonts w:ascii="仿宋_GB2312" w:eastAsia="仿宋_GB2312"/>
                <w:kern w:val="0"/>
              </w:rPr>
            </w:pPr>
          </w:p>
        </w:tc>
        <w:tc>
          <w:tcPr>
            <w:tcW w:w="869" w:type="dxa"/>
            <w:vMerge w:val="continue"/>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3816" w:type="dxa"/>
            <w:gridSpan w:val="3"/>
            <w:vMerge w:val="restart"/>
            <w:vAlign w:val="center"/>
          </w:tcPr>
          <w:p>
            <w:pPr>
              <w:spacing w:line="240" w:lineRule="auto"/>
              <w:ind w:firstLine="420"/>
              <w:jc w:val="center"/>
              <w:rPr>
                <w:rFonts w:ascii="仿宋_GB2312" w:eastAsia="仿宋_GB2312"/>
                <w:kern w:val="0"/>
              </w:rPr>
            </w:pPr>
            <w:r>
              <w:rPr>
                <w:rFonts w:hint="eastAsia" w:ascii="仿宋_GB2312" w:eastAsia="仿宋_GB2312"/>
                <w:kern w:val="0"/>
              </w:rPr>
              <w:t>残疾人群体和谐稳定</w:t>
            </w:r>
          </w:p>
        </w:tc>
        <w:tc>
          <w:tcPr>
            <w:tcW w:w="699" w:type="dxa"/>
            <w:vMerge w:val="restart"/>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Merge w:val="restart"/>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3816" w:type="dxa"/>
            <w:gridSpan w:val="3"/>
            <w:vMerge w:val="continue"/>
            <w:vAlign w:val="center"/>
          </w:tcPr>
          <w:p>
            <w:pPr>
              <w:spacing w:line="240" w:lineRule="auto"/>
              <w:ind w:firstLine="420"/>
              <w:jc w:val="center"/>
              <w:rPr>
                <w:rFonts w:ascii="仿宋_GB2312" w:eastAsia="仿宋_GB2312"/>
                <w:kern w:val="0"/>
              </w:rPr>
            </w:pPr>
          </w:p>
        </w:tc>
        <w:tc>
          <w:tcPr>
            <w:tcW w:w="699" w:type="dxa"/>
            <w:vMerge w:val="continue"/>
            <w:vAlign w:val="center"/>
          </w:tcPr>
          <w:p>
            <w:pPr>
              <w:spacing w:line="240" w:lineRule="auto"/>
              <w:ind w:firstLine="420"/>
              <w:jc w:val="center"/>
              <w:rPr>
                <w:rFonts w:ascii="仿宋_GB2312" w:eastAsia="仿宋_GB2312"/>
                <w:kern w:val="0"/>
              </w:rPr>
            </w:pPr>
          </w:p>
        </w:tc>
        <w:tc>
          <w:tcPr>
            <w:tcW w:w="869" w:type="dxa"/>
            <w:vMerge w:val="continue"/>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3816" w:type="dxa"/>
            <w:gridSpan w:val="3"/>
            <w:vMerge w:val="restart"/>
            <w:vAlign w:val="center"/>
          </w:tcPr>
          <w:p>
            <w:pPr>
              <w:spacing w:line="240" w:lineRule="auto"/>
              <w:ind w:firstLine="420"/>
              <w:jc w:val="center"/>
              <w:rPr>
                <w:rFonts w:ascii="仿宋_GB2312" w:eastAsia="仿宋_GB2312"/>
                <w:kern w:val="0"/>
              </w:rPr>
            </w:pPr>
            <w:r>
              <w:rPr>
                <w:rFonts w:hint="eastAsia" w:ascii="仿宋_GB2312" w:eastAsia="仿宋_GB2312"/>
                <w:kern w:val="0"/>
              </w:rPr>
              <w:t>残疾人群体和谐稳定</w:t>
            </w:r>
          </w:p>
        </w:tc>
        <w:tc>
          <w:tcPr>
            <w:tcW w:w="699" w:type="dxa"/>
            <w:vMerge w:val="restart"/>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Merge w:val="restart"/>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3816" w:type="dxa"/>
            <w:gridSpan w:val="3"/>
            <w:vMerge w:val="continue"/>
            <w:vAlign w:val="center"/>
          </w:tcPr>
          <w:p>
            <w:pPr>
              <w:spacing w:line="240" w:lineRule="auto"/>
              <w:ind w:firstLine="420"/>
              <w:jc w:val="center"/>
              <w:rPr>
                <w:rFonts w:ascii="仿宋_GB2312" w:eastAsia="仿宋_GB2312"/>
                <w:kern w:val="0"/>
              </w:rPr>
            </w:pPr>
          </w:p>
        </w:tc>
        <w:tc>
          <w:tcPr>
            <w:tcW w:w="699" w:type="dxa"/>
            <w:vMerge w:val="continue"/>
            <w:vAlign w:val="center"/>
          </w:tcPr>
          <w:p>
            <w:pPr>
              <w:spacing w:line="240" w:lineRule="auto"/>
              <w:ind w:firstLine="420"/>
              <w:jc w:val="center"/>
              <w:rPr>
                <w:rFonts w:ascii="仿宋_GB2312" w:eastAsia="仿宋_GB2312"/>
                <w:kern w:val="0"/>
              </w:rPr>
            </w:pPr>
          </w:p>
        </w:tc>
        <w:tc>
          <w:tcPr>
            <w:tcW w:w="869" w:type="dxa"/>
            <w:vMerge w:val="continue"/>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2547" w:type="dxa"/>
            <w:gridSpan w:val="2"/>
            <w:vMerge w:val="restart"/>
            <w:vAlign w:val="center"/>
          </w:tcPr>
          <w:p>
            <w:pPr>
              <w:spacing w:line="240" w:lineRule="auto"/>
              <w:ind w:firstLine="420"/>
              <w:jc w:val="center"/>
              <w:rPr>
                <w:rFonts w:ascii="仿宋_GB2312" w:eastAsia="仿宋_GB2312"/>
                <w:kern w:val="0"/>
              </w:rPr>
            </w:pPr>
            <w:r>
              <w:rPr>
                <w:rFonts w:hint="eastAsia" w:ascii="仿宋_GB2312" w:eastAsia="仿宋_GB2312"/>
                <w:kern w:val="0"/>
              </w:rPr>
              <w:t>服务对象满意度</w:t>
            </w:r>
          </w:p>
        </w:tc>
        <w:tc>
          <w:tcPr>
            <w:tcW w:w="1269" w:type="dxa"/>
            <w:vMerge w:val="restart"/>
            <w:vAlign w:val="center"/>
          </w:tcPr>
          <w:p>
            <w:pPr>
              <w:spacing w:line="240" w:lineRule="auto"/>
              <w:ind w:firstLine="420"/>
              <w:jc w:val="center"/>
              <w:rPr>
                <w:rFonts w:hint="default" w:ascii="仿宋_GB2312" w:eastAsia="仿宋_GB2312"/>
                <w:kern w:val="0"/>
                <w:lang w:val="en-US" w:eastAsia="zh-CN"/>
              </w:rPr>
            </w:pPr>
            <w:r>
              <w:rPr>
                <w:rFonts w:hint="default" w:ascii="Arial" w:hAnsi="Arial" w:eastAsia="仿宋_GB2312" w:cs="Arial"/>
                <w:kern w:val="0"/>
              </w:rPr>
              <w:t>≥</w:t>
            </w:r>
            <w:r>
              <w:rPr>
                <w:rFonts w:hint="eastAsia" w:ascii="仿宋_GB2312" w:eastAsia="仿宋_GB2312"/>
                <w:kern w:val="0"/>
                <w:lang w:val="en-US" w:eastAsia="zh-CN"/>
              </w:rPr>
              <w:t>95%</w:t>
            </w:r>
          </w:p>
        </w:tc>
        <w:tc>
          <w:tcPr>
            <w:tcW w:w="699" w:type="dxa"/>
            <w:vMerge w:val="restart"/>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Merge w:val="restart"/>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547" w:type="dxa"/>
            <w:gridSpan w:val="2"/>
            <w:vMerge w:val="continue"/>
            <w:vAlign w:val="center"/>
          </w:tcPr>
          <w:p>
            <w:pPr>
              <w:spacing w:line="240" w:lineRule="auto"/>
              <w:ind w:firstLine="420"/>
              <w:jc w:val="center"/>
              <w:rPr>
                <w:rFonts w:ascii="仿宋_GB2312" w:eastAsia="仿宋_GB2312"/>
                <w:kern w:val="0"/>
              </w:rPr>
            </w:pPr>
          </w:p>
        </w:tc>
        <w:tc>
          <w:tcPr>
            <w:tcW w:w="1269" w:type="dxa"/>
            <w:vMerge w:val="continue"/>
            <w:vAlign w:val="center"/>
          </w:tcPr>
          <w:p>
            <w:pPr>
              <w:spacing w:line="240" w:lineRule="auto"/>
              <w:ind w:firstLine="420"/>
              <w:jc w:val="center"/>
              <w:rPr>
                <w:rFonts w:ascii="仿宋_GB2312" w:eastAsia="仿宋_GB2312"/>
                <w:kern w:val="0"/>
              </w:rPr>
            </w:pPr>
          </w:p>
        </w:tc>
        <w:tc>
          <w:tcPr>
            <w:tcW w:w="699" w:type="dxa"/>
            <w:vMerge w:val="continue"/>
            <w:vAlign w:val="center"/>
          </w:tcPr>
          <w:p>
            <w:pPr>
              <w:spacing w:line="240" w:lineRule="auto"/>
              <w:ind w:firstLine="420"/>
              <w:jc w:val="center"/>
              <w:rPr>
                <w:rFonts w:hint="eastAsia" w:ascii="仿宋_GB2312" w:eastAsia="仿宋_GB2312"/>
                <w:kern w:val="0"/>
                <w:lang w:val="en-US" w:eastAsia="zh-CN"/>
              </w:rPr>
            </w:pPr>
          </w:p>
        </w:tc>
        <w:tc>
          <w:tcPr>
            <w:tcW w:w="869" w:type="dxa"/>
            <w:vMerge w:val="continue"/>
            <w:vAlign w:val="center"/>
          </w:tcPr>
          <w:p>
            <w:pPr>
              <w:spacing w:line="240" w:lineRule="auto"/>
              <w:ind w:firstLine="420"/>
              <w:jc w:val="center"/>
              <w:rPr>
                <w:rFonts w:hint="eastAsia" w:ascii="仿宋_GB2312" w:eastAsia="仿宋_GB2312"/>
                <w:kern w:val="0"/>
                <w:lang w:val="en-US" w:eastAsia="zh-CN"/>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2547" w:type="dxa"/>
            <w:gridSpan w:val="2"/>
            <w:vMerge w:val="continue"/>
            <w:vAlign w:val="center"/>
          </w:tcPr>
          <w:p>
            <w:pPr>
              <w:spacing w:line="240" w:lineRule="auto"/>
              <w:ind w:firstLine="420"/>
              <w:jc w:val="center"/>
              <w:rPr>
                <w:rFonts w:ascii="仿宋_GB2312" w:eastAsia="仿宋_GB2312"/>
                <w:kern w:val="0"/>
              </w:rPr>
            </w:pPr>
          </w:p>
        </w:tc>
        <w:tc>
          <w:tcPr>
            <w:tcW w:w="1269" w:type="dxa"/>
            <w:vMerge w:val="continue"/>
            <w:vAlign w:val="center"/>
          </w:tcPr>
          <w:p>
            <w:pPr>
              <w:spacing w:line="240" w:lineRule="auto"/>
              <w:ind w:firstLine="420"/>
              <w:jc w:val="center"/>
              <w:rPr>
                <w:rFonts w:ascii="仿宋_GB2312" w:eastAsia="仿宋_GB2312"/>
                <w:kern w:val="0"/>
              </w:rPr>
            </w:pPr>
          </w:p>
        </w:tc>
        <w:tc>
          <w:tcPr>
            <w:tcW w:w="699" w:type="dxa"/>
            <w:vMerge w:val="continue"/>
            <w:vAlign w:val="center"/>
          </w:tcPr>
          <w:p>
            <w:pPr>
              <w:spacing w:line="240" w:lineRule="auto"/>
              <w:ind w:firstLine="420"/>
              <w:jc w:val="center"/>
              <w:rPr>
                <w:rFonts w:hint="default" w:ascii="仿宋_GB2312" w:eastAsia="仿宋_GB2312"/>
                <w:kern w:val="0"/>
                <w:lang w:val="en-US" w:eastAsia="zh-CN"/>
              </w:rPr>
            </w:pPr>
          </w:p>
        </w:tc>
        <w:tc>
          <w:tcPr>
            <w:tcW w:w="869" w:type="dxa"/>
            <w:vMerge w:val="continue"/>
            <w:vAlign w:val="center"/>
          </w:tcPr>
          <w:p>
            <w:pPr>
              <w:spacing w:line="240" w:lineRule="auto"/>
              <w:ind w:firstLine="420"/>
              <w:jc w:val="center"/>
              <w:rPr>
                <w:rFonts w:hint="default" w:ascii="仿宋_GB2312" w:eastAsia="仿宋_GB2312"/>
                <w:kern w:val="0"/>
                <w:lang w:val="en-US" w:eastAsia="zh-CN"/>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2547"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控制成本，提高效益</w:t>
            </w:r>
          </w:p>
        </w:tc>
        <w:tc>
          <w:tcPr>
            <w:tcW w:w="1269" w:type="dxa"/>
            <w:vAlign w:val="center"/>
          </w:tcPr>
          <w:p>
            <w:pPr>
              <w:spacing w:line="240" w:lineRule="auto"/>
              <w:ind w:firstLine="420"/>
              <w:jc w:val="center"/>
              <w:rPr>
                <w:rFonts w:ascii="仿宋_GB2312" w:eastAsia="仿宋_GB2312"/>
                <w:kern w:val="0"/>
              </w:rPr>
            </w:pPr>
            <w:r>
              <w:rPr>
                <w:rFonts w:hint="default" w:ascii="Arial" w:hAnsi="Arial" w:eastAsia="仿宋_GB2312" w:cs="Arial"/>
                <w:kern w:val="0"/>
              </w:rPr>
              <w:t>≥</w:t>
            </w:r>
            <w:r>
              <w:rPr>
                <w:rFonts w:hint="eastAsia" w:ascii="仿宋_GB2312" w:eastAsia="仿宋_GB2312"/>
                <w:kern w:val="0"/>
                <w:lang w:val="en-US" w:eastAsia="zh-CN"/>
              </w:rPr>
              <w:t>95%</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hint="default" w:ascii="仿宋_GB2312" w:eastAsia="仿宋_GB2312"/>
                <w:kern w:val="0"/>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2547"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残疾人群体和谐稳定</w:t>
            </w:r>
          </w:p>
        </w:tc>
        <w:tc>
          <w:tcPr>
            <w:tcW w:w="1269" w:type="dxa"/>
            <w:vAlign w:val="center"/>
          </w:tcPr>
          <w:p>
            <w:pPr>
              <w:spacing w:line="240" w:lineRule="auto"/>
              <w:ind w:firstLine="420"/>
              <w:jc w:val="center"/>
              <w:rPr>
                <w:rFonts w:ascii="仿宋_GB2312" w:eastAsia="仿宋_GB2312"/>
                <w:kern w:val="0"/>
              </w:rPr>
            </w:pPr>
            <w:r>
              <w:rPr>
                <w:rFonts w:hint="default" w:ascii="Arial" w:hAnsi="Arial" w:eastAsia="仿宋_GB2312" w:cs="Arial"/>
                <w:kern w:val="0"/>
              </w:rPr>
              <w:t>≥</w:t>
            </w:r>
            <w:r>
              <w:rPr>
                <w:rFonts w:hint="eastAsia" w:ascii="仿宋_GB2312" w:eastAsia="仿宋_GB2312"/>
                <w:kern w:val="0"/>
                <w:lang w:val="en-US" w:eastAsia="zh-CN"/>
              </w:rPr>
              <w:t>95%</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7</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2547"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残疾人群体和谐稳定</w:t>
            </w:r>
          </w:p>
        </w:tc>
        <w:tc>
          <w:tcPr>
            <w:tcW w:w="1269" w:type="dxa"/>
            <w:vAlign w:val="center"/>
          </w:tcPr>
          <w:p>
            <w:pPr>
              <w:spacing w:line="240" w:lineRule="auto"/>
              <w:ind w:firstLine="420"/>
              <w:jc w:val="center"/>
              <w:rPr>
                <w:rFonts w:ascii="仿宋_GB2312" w:eastAsia="仿宋_GB2312"/>
                <w:kern w:val="0"/>
              </w:rPr>
            </w:pPr>
            <w:r>
              <w:rPr>
                <w:rFonts w:hint="default" w:ascii="Arial" w:hAnsi="Arial" w:eastAsia="仿宋_GB2312" w:cs="Arial"/>
                <w:kern w:val="0"/>
              </w:rPr>
              <w:t>≥</w:t>
            </w:r>
            <w:r>
              <w:rPr>
                <w:rFonts w:hint="eastAsia" w:ascii="仿宋_GB2312" w:eastAsia="仿宋_GB2312"/>
                <w:kern w:val="0"/>
                <w:lang w:val="en-US" w:eastAsia="zh-CN"/>
              </w:rPr>
              <w:t>95%</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7</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7</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95</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狄红岱</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2024.06.25</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13517307865</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曾祥中</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其他残疾人事业支出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汨罗市人民政府</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 汨罗市残联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122</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122</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完成年度内残疾人其他事业的各项任务</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已完成年度内残疾人其他事业的各项任务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残疾人创业扶持</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≥10人</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w:t>
            </w:r>
            <w:r>
              <w:rPr>
                <w:rFonts w:hint="eastAsia" w:ascii="仿宋_GB2312" w:hAnsi="宋体" w:eastAsia="仿宋_GB2312" w:cs="宋体"/>
                <w:kern w:val="0"/>
                <w:lang w:val="en-US" w:eastAsia="zh-CN"/>
              </w:rPr>
              <w:t>20</w:t>
            </w:r>
            <w:r>
              <w:rPr>
                <w:rFonts w:hint="eastAsia" w:ascii="仿宋_GB2312" w:hAnsi="宋体" w:eastAsia="仿宋_GB2312" w:cs="宋体"/>
                <w:kern w:val="0"/>
              </w:rPr>
              <w:t>人</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continue"/>
            <w:vAlign w:val="center"/>
          </w:tcPr>
          <w:p>
            <w:pPr>
              <w:spacing w:line="240" w:lineRule="auto"/>
              <w:jc w:val="center"/>
              <w:rPr>
                <w:rFonts w:ascii="仿宋_GB2312" w:hAnsi="宋体" w:eastAsia="仿宋_GB2312" w:cs="宋体"/>
                <w:kern w:val="0"/>
              </w:rPr>
            </w:pPr>
          </w:p>
        </w:tc>
        <w:tc>
          <w:tcPr>
            <w:tcW w:w="1218" w:type="dxa"/>
            <w:vMerge w:val="continue"/>
            <w:vAlign w:val="center"/>
          </w:tcPr>
          <w:p>
            <w:pPr>
              <w:spacing w:line="240" w:lineRule="auto"/>
              <w:jc w:val="center"/>
              <w:rPr>
                <w:rFonts w:hint="eastAsia"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精神残疾人员免费提供服药</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≥100人</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≥100人</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continue"/>
            <w:vAlign w:val="center"/>
          </w:tcPr>
          <w:p>
            <w:pPr>
              <w:spacing w:line="240" w:lineRule="auto"/>
              <w:jc w:val="center"/>
              <w:rPr>
                <w:rFonts w:ascii="仿宋_GB2312" w:hAnsi="宋体" w:eastAsia="仿宋_GB2312" w:cs="宋体"/>
                <w:kern w:val="0"/>
              </w:rPr>
            </w:pPr>
          </w:p>
        </w:tc>
        <w:tc>
          <w:tcPr>
            <w:tcW w:w="1218" w:type="dxa"/>
            <w:vMerge w:val="continue"/>
            <w:vAlign w:val="center"/>
          </w:tcPr>
          <w:p>
            <w:pPr>
              <w:spacing w:line="240" w:lineRule="auto"/>
              <w:jc w:val="center"/>
              <w:rPr>
                <w:rFonts w:hint="eastAsia"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儿童抢救性康复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≥144人</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≥144人</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continue"/>
            <w:vAlign w:val="center"/>
          </w:tcPr>
          <w:p>
            <w:pPr>
              <w:spacing w:line="240" w:lineRule="auto"/>
              <w:jc w:val="center"/>
              <w:rPr>
                <w:rFonts w:ascii="仿宋_GB2312" w:hAnsi="宋体" w:eastAsia="仿宋_GB2312" w:cs="宋体"/>
                <w:kern w:val="0"/>
              </w:rPr>
            </w:pPr>
          </w:p>
        </w:tc>
        <w:tc>
          <w:tcPr>
            <w:tcW w:w="1218" w:type="dxa"/>
            <w:vMerge w:val="continue"/>
            <w:vAlign w:val="center"/>
          </w:tcPr>
          <w:p>
            <w:pPr>
              <w:spacing w:line="240" w:lineRule="auto"/>
              <w:jc w:val="center"/>
              <w:rPr>
                <w:rFonts w:hint="eastAsia"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盲人补贴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≥420人</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≥420人</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continue"/>
            <w:vAlign w:val="center"/>
          </w:tcPr>
          <w:p>
            <w:pPr>
              <w:spacing w:line="240" w:lineRule="auto"/>
              <w:jc w:val="center"/>
              <w:rPr>
                <w:rFonts w:ascii="仿宋_GB2312" w:hAnsi="宋体" w:eastAsia="仿宋_GB2312" w:cs="宋体"/>
                <w:kern w:val="0"/>
              </w:rPr>
            </w:pPr>
          </w:p>
        </w:tc>
        <w:tc>
          <w:tcPr>
            <w:tcW w:w="1218" w:type="dxa"/>
            <w:vMerge w:val="continue"/>
            <w:vAlign w:val="center"/>
          </w:tcPr>
          <w:p>
            <w:pPr>
              <w:spacing w:line="240" w:lineRule="auto"/>
              <w:jc w:val="center"/>
              <w:rPr>
                <w:rFonts w:hint="eastAsia"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困难残疾人家庭无障碍改造</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120户</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120户</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continue"/>
            <w:vAlign w:val="center"/>
          </w:tcPr>
          <w:p>
            <w:pPr>
              <w:spacing w:line="240" w:lineRule="auto"/>
              <w:jc w:val="center"/>
              <w:rPr>
                <w:rFonts w:ascii="仿宋_GB2312" w:hAnsi="宋体" w:eastAsia="仿宋_GB2312" w:cs="宋体"/>
                <w:kern w:val="0"/>
              </w:rPr>
            </w:pPr>
          </w:p>
        </w:tc>
        <w:tc>
          <w:tcPr>
            <w:tcW w:w="1218" w:type="dxa"/>
            <w:vMerge w:val="continue"/>
            <w:vAlign w:val="center"/>
          </w:tcPr>
          <w:p>
            <w:pPr>
              <w:spacing w:line="240" w:lineRule="auto"/>
              <w:jc w:val="center"/>
              <w:rPr>
                <w:rFonts w:hint="eastAsia"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残疾灵活就业</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≥1000人</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≥1000人</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continue"/>
            <w:vAlign w:val="center"/>
          </w:tcPr>
          <w:p>
            <w:pPr>
              <w:spacing w:line="240" w:lineRule="auto"/>
              <w:jc w:val="center"/>
              <w:rPr>
                <w:rFonts w:ascii="仿宋_GB2312" w:hAnsi="宋体" w:eastAsia="仿宋_GB2312" w:cs="宋体"/>
                <w:kern w:val="0"/>
              </w:rPr>
            </w:pPr>
          </w:p>
        </w:tc>
        <w:tc>
          <w:tcPr>
            <w:tcW w:w="1218" w:type="dxa"/>
            <w:vMerge w:val="continue"/>
            <w:vAlign w:val="center"/>
          </w:tcPr>
          <w:p>
            <w:pPr>
              <w:spacing w:line="240" w:lineRule="auto"/>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残疾人居家托养</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120户</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120户</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残疾人康复服务率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预算执行率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预算执行率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6"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现状改善程度（减轻残疾人家庭负担、家庭困难得到改善）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明显改善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明显改善</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扶助残疾人平等充公参与社会活动，共享社会物质和文化成果</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全体残疾朋友</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全体残疾朋友</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残疾人群体和谐稳定</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明显改善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明显改善</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6"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服务对象满意度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现状改善程度（减轻残疾人家庭负担、家庭困难得到改善）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明显改善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明显改善</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扶助残疾人平等充公参与社会活动，共享社会物质和文化成果</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明显改善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明显改善</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残疾人群体和谐稳定</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明显改善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明显改善</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814" w:right="1474" w:bottom="1531" w:left="1587" w:header="0" w:footer="1587" w:gutter="0"/>
          <w:pgNumType w:fmt="numberInDash"/>
          <w:cols w:space="0" w:num="1"/>
          <w:rtlGutter w:val="0"/>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snapToGrid w:val="0"/>
          <w:color w:val="000000"/>
          <w:sz w:val="21"/>
          <w:szCs w:val="21"/>
          <w:lang w:val="en-US" w:eastAsia="zh-CN" w:bidi="ar-SA"/>
        </w:rPr>
        <w:t>狄红岱</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2024.6.25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13517307865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r>
        <w:rPr>
          <w:rFonts w:hint="eastAsia" w:ascii="仿宋_GB2312" w:hAnsi="宋体" w:eastAsia="仿宋_GB2312" w:cs="宋体"/>
          <w:snapToGrid w:val="0"/>
          <w:color w:val="000000"/>
          <w:sz w:val="21"/>
          <w:szCs w:val="21"/>
          <w:lang w:val="en-US" w:eastAsia="zh-CN" w:bidi="ar-SA"/>
        </w:rPr>
        <w:t>曾祥中</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年度汨罗市残疾人联合会整体支出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hint="eastAsia"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部门(单位)名称：汨罗市残联人联合会</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2024</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06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25</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p>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ascii="黑体" w:hAnsi="黑体" w:eastAsia="黑体" w:cs="黑体"/>
          <w:spacing w:val="-60"/>
          <w:sz w:val="40"/>
          <w:szCs w:val="40"/>
        </w:rPr>
        <w:t xml:space="preserve"> </w:t>
      </w:r>
      <w:r>
        <w:rPr>
          <w:rFonts w:hint="eastAsia" w:ascii="黑体" w:hAnsi="黑体" w:eastAsia="黑体" w:cs="黑体"/>
          <w:spacing w:val="16"/>
          <w:sz w:val="40"/>
          <w:szCs w:val="40"/>
          <w:lang w:eastAsia="zh-CN"/>
        </w:rPr>
        <w:t>汨罗市残联</w:t>
      </w:r>
      <w:r>
        <w:rPr>
          <w:rFonts w:ascii="黑体" w:hAnsi="黑体" w:eastAsia="黑体" w:cs="黑体"/>
          <w:spacing w:val="16"/>
          <w:sz w:val="40"/>
          <w:szCs w:val="40"/>
        </w:rPr>
        <w:t>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360" w:lineRule="auto"/>
        <w:ind w:firstLine="640"/>
        <w:jc w:val="both"/>
        <w:textAlignment w:val="baseline"/>
        <w:rPr>
          <w:rFonts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一、部门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1、</w:t>
      </w:r>
      <w:r>
        <w:rPr>
          <w:rFonts w:hint="eastAsia" w:ascii="仿宋_GB2312" w:hAnsi="宋体" w:eastAsia="仿宋_GB2312" w:cs="宋体"/>
          <w:color w:val="auto"/>
          <w:kern w:val="0"/>
          <w:sz w:val="32"/>
          <w:szCs w:val="32"/>
        </w:rPr>
        <w:t>宣传、贯彻、执行《中华人民共和国残疾人保障法》和国家有关残疾人工作的方针、政策及相关法律、法规，协助政府和有关部门制定和实施本市残疾人工作的具体实施办法和规定，制定本市残疾人事业发展的中、长期规划和有关政策，对相关业务领域进行指导和管理。</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2、</w:t>
      </w:r>
      <w:r>
        <w:rPr>
          <w:rFonts w:hint="eastAsia" w:ascii="仿宋_GB2312" w:hAnsi="宋体" w:eastAsia="仿宋_GB2312" w:cs="宋体"/>
          <w:color w:val="auto"/>
          <w:kern w:val="0"/>
          <w:sz w:val="32"/>
          <w:szCs w:val="32"/>
        </w:rPr>
        <w:t>弘扬人道主义精神，宣传残疾人事业，动员、组织全社会开展扶残助残活动，加强残疾人文化、体育、科研、福利、法制工作。创造良好环境和条件，扶助残疾人平等参与社会生活。</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3、</w:t>
      </w:r>
      <w:r>
        <w:rPr>
          <w:rFonts w:hint="eastAsia" w:ascii="仿宋_GB2312" w:hAnsi="宋体" w:eastAsia="仿宋_GB2312" w:cs="宋体"/>
          <w:color w:val="auto"/>
          <w:kern w:val="0"/>
          <w:sz w:val="32"/>
          <w:szCs w:val="32"/>
        </w:rPr>
        <w:t>团结、教育残疾人遵纪守法，履行应尽的义务，发扬自尊、自信、自强、自立的精神，为社会主义事业做出贡献；组织开展残疾人劳动就业、教育、扶贫工作，健全残疾人劳动就业服务网络，依法收缴、管理和使用残疾人就业保障金。指导乡、镇残联组织建设和社区残疾人工作，开展乡、镇民政助理员培训工作。承担市人民政府残疾人工作协调委员会的日常工作，做好综合、组织、协调和服务。指导和管理残疾人的社会组织。</w:t>
      </w:r>
    </w:p>
    <w:p>
      <w:pPr>
        <w:keepNext w:val="0"/>
        <w:keepLines w:val="0"/>
        <w:pageBreakBefore w:val="0"/>
        <w:kinsoku/>
        <w:wordWrap/>
        <w:overflowPunct/>
        <w:topLinePunct w:val="0"/>
        <w:autoSpaceDE/>
        <w:autoSpaceDN/>
        <w:bidi w:val="0"/>
        <w:adjustRightInd/>
        <w:snapToGrid/>
        <w:spacing w:line="600" w:lineRule="exact"/>
        <w:ind w:firstLine="640" w:firstLineChars="20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4、</w:t>
      </w:r>
      <w:r>
        <w:rPr>
          <w:rFonts w:hint="eastAsia" w:ascii="仿宋_GB2312" w:hAnsi="宋体" w:eastAsia="仿宋_GB2312" w:cs="宋体"/>
          <w:color w:val="auto"/>
          <w:kern w:val="0"/>
          <w:sz w:val="32"/>
          <w:szCs w:val="32"/>
        </w:rPr>
        <w:t>承担市政府及上级业务主管部门交办的其它工作。</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0"/>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汨罗市残疾人联合会2022年一般公共预算财政拨款支出894.92万元，其中：基本支出463.81万元，其中人员经费340.82万元、日常公用经费122.99万元，项目支出431.11万元。</w:t>
      </w:r>
    </w:p>
    <w:p>
      <w:pPr>
        <w:pStyle w:val="10"/>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我单位严格执行预算管理制度，依据“谁用钱，谁负责”的原则，专款专用，实时监控</w:t>
      </w:r>
      <w:r>
        <w:rPr>
          <w:rFonts w:hint="eastAsia" w:ascii="仿宋_GB2312" w:hAnsi="仿宋_GB2312"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1、专项资金安排落实、总投入等情况分析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汨罗市残疾人联合会专项资金均已落实到位，按时按质合理使用完毕。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2、专项资金实际使用情况分析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项目资金严格按指定用途专款专用，实行专项报告制度，并接受财政部门或上级部门的检查、验收。202</w:t>
      </w:r>
      <w:r>
        <w:rPr>
          <w:rFonts w:hint="eastAsia" w:ascii="仿宋_GB2312" w:hAnsi="仿宋_GB2312" w:eastAsia="仿宋_GB2312" w:cs="Times New Roman"/>
          <w:color w:val="auto"/>
          <w:sz w:val="32"/>
          <w:szCs w:val="32"/>
          <w:highlight w:val="none"/>
          <w:lang w:val="en-US" w:eastAsia="zh-CN"/>
        </w:rPr>
        <w:t>2</w:t>
      </w:r>
      <w:r>
        <w:rPr>
          <w:rFonts w:hint="eastAsia" w:ascii="仿宋_GB2312" w:hAnsi="仿宋_GB2312" w:eastAsia="仿宋_GB2312" w:cs="Times New Roman"/>
          <w:color w:val="auto"/>
          <w:sz w:val="32"/>
          <w:szCs w:val="32"/>
          <w:highlight w:val="none"/>
          <w:lang w:eastAsia="zh-CN"/>
        </w:rPr>
        <w:t>年项目支出基本能够严格按照相关制度规定等进行。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3、专项资金管理情况分析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1</w:t>
      </w:r>
      <w:r>
        <w:rPr>
          <w:rFonts w:hint="eastAsia" w:ascii="仿宋_GB2312" w:hAnsi="仿宋_GB2312" w:eastAsia="仿宋_GB2312" w:cs="Times New Roman"/>
          <w:color w:val="auto"/>
          <w:sz w:val="32"/>
          <w:szCs w:val="32"/>
          <w:highlight w:val="none"/>
          <w:lang w:eastAsia="zh-CN"/>
        </w:rPr>
        <w:t>）建章立制，积极推进专项资金管理制度化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我单位从专项资金设立、预算编制、分配方式、执行管理、监督评价等方面，对区级财政专项资金使用管理进行全面规范。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2</w:t>
      </w:r>
      <w:r>
        <w:rPr>
          <w:rFonts w:hint="eastAsia" w:ascii="仿宋_GB2312" w:hAnsi="仿宋_GB2312" w:eastAsia="仿宋_GB2312" w:cs="Times New Roman"/>
          <w:color w:val="auto"/>
          <w:sz w:val="32"/>
          <w:szCs w:val="32"/>
          <w:highlight w:val="none"/>
          <w:lang w:eastAsia="zh-CN"/>
        </w:rPr>
        <w:t>）建立体系，积极推进专项资金督查有序化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一是对各个专项资金的设立，严格项目申报、政策依据、项目评审，科学合理、因事编制。二是规范支出执行，实行专账核算、专款专用。三是强化监督管理，严把监督关。各部门各司其职，共同加强专项资金使用监督检查，加强社会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3</w:t>
      </w:r>
      <w:r>
        <w:rPr>
          <w:rFonts w:hint="eastAsia" w:ascii="仿宋_GB2312" w:hAnsi="仿宋_GB2312" w:eastAsia="仿宋_GB2312" w:cs="Times New Roman"/>
          <w:color w:val="auto"/>
          <w:sz w:val="32"/>
          <w:szCs w:val="32"/>
          <w:highlight w:val="none"/>
          <w:lang w:eastAsia="zh-CN"/>
        </w:rPr>
        <w:t>）公开信息，积极推进专项资金监督透明化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按照建立规范透明预算管理制度的要求，积极稳妥推进专项资金信息公开。</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pStyle w:val="3"/>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四、国有资本经营预算支出情况</w:t>
      </w:r>
    </w:p>
    <w:p>
      <w:pPr>
        <w:pStyle w:val="3"/>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五、社会保险基金预算支出情况</w:t>
      </w:r>
    </w:p>
    <w:p>
      <w:pPr>
        <w:pStyle w:val="3"/>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为加强项目资金管理，规范项目资金管理行为，提高项目管理水平及项目资金使用效益，汨罗市</w:t>
      </w:r>
      <w:r>
        <w:rPr>
          <w:rFonts w:hint="eastAsia" w:ascii="仿宋_GB2312" w:hAnsi="仿宋_GB2312" w:eastAsia="仿宋_GB2312" w:cs="仿宋_GB2312"/>
          <w:sz w:val="32"/>
          <w:szCs w:val="32"/>
          <w:lang w:val="en-US" w:eastAsia="zh-CN"/>
        </w:rPr>
        <w:t>残疾人联合会</w:t>
      </w:r>
      <w:r>
        <w:rPr>
          <w:rFonts w:hint="eastAsia" w:ascii="仿宋_GB2312" w:hAnsi="仿宋_GB2312" w:eastAsia="仿宋_GB2312"/>
          <w:color w:val="auto"/>
          <w:sz w:val="32"/>
          <w:szCs w:val="32"/>
          <w:highlight w:val="none"/>
          <w:lang w:val="en-US" w:eastAsia="zh-CN"/>
        </w:rPr>
        <w:t>制定了财务管理制度、项目资金管理制度、专项资金管理办法等，对项目管理职责、申报与组织实施、项目资金的管理、监督检查与验收等进行了规定，成立了工作领导小组、明确工作职责、确定责任单位、制定工作方案、项目实施细则、考核办法等。2022年项目支出基本能够严格按照相关制度规定等进行。</w:t>
      </w:r>
    </w:p>
    <w:p>
      <w:pPr>
        <w:spacing w:line="600" w:lineRule="exact"/>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（1）项目推进力度有待进一步加强。</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（2）政府采购年初预算与实际执行偏差大，政府采购预算编制准确性有待提高。</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1）强化预算执行，提高预算完成率。严格按项目和进度执行预算，合理安排资金支出，增强预算执行的规范性和严肃性；完善项目责任制，业务科室为项目实施责任单位，应加强与财务部门的沟通协调和项目实施，定期做好预算执行分析，及时了解预算执行差异，合理调整、纠正预算执行偏差，加快预算的执行进度，减少存量资金，切实提高预算完成率及资金使用效益。</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（2）科学合理编制政府采购预算，强化政府采购预算执行，确保政府采购预算切合单位实际。</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（3）根据年初的绩效考核指标及预算绩效目标，扎实推进相关工作，确保考核指标及预算绩效目标按时、优质完成。</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其他残疾人事业</w:t>
      </w:r>
      <w:r>
        <w:rPr>
          <w:rFonts w:ascii="黑体" w:hAnsi="黑体" w:eastAsia="黑体" w:cs="黑体"/>
          <w:spacing w:val="15"/>
          <w:position w:val="10"/>
          <w:sz w:val="42"/>
          <w:szCs w:val="42"/>
        </w:rPr>
        <w:t>支出</w:t>
      </w:r>
    </w:p>
    <w:p>
      <w:pPr>
        <w:spacing w:before="1" w:line="220" w:lineRule="auto"/>
        <w:ind w:left="3069" w:firstLine="880" w:firstLineChars="200"/>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rFonts w:hint="eastAsia"/>
          <w:spacing w:val="-22"/>
          <w:sz w:val="27"/>
          <w:szCs w:val="27"/>
          <w:u w:val="single" w:color="auto"/>
          <w:lang w:eastAsia="zh-CN"/>
        </w:rPr>
        <w:t>汨罗市残疾人联合会</w:t>
      </w:r>
      <w:r>
        <w:rPr>
          <w:sz w:val="27"/>
          <w:szCs w:val="27"/>
          <w:u w:val="single" w:color="auto"/>
        </w:rPr>
        <w:t xml:space="preserve">  </w:t>
      </w:r>
    </w:p>
    <w:p>
      <w:pPr>
        <w:pStyle w:val="2"/>
        <w:spacing w:before="289" w:line="610" w:lineRule="exact"/>
        <w:ind w:left="3490"/>
        <w:rPr>
          <w:sz w:val="27"/>
          <w:szCs w:val="27"/>
        </w:rPr>
      </w:pPr>
      <w:r>
        <w:rPr>
          <w:rFonts w:hint="eastAsia"/>
          <w:spacing w:val="-13"/>
          <w:position w:val="26"/>
          <w:sz w:val="27"/>
          <w:szCs w:val="27"/>
          <w:lang w:val="en-US" w:eastAsia="zh-CN"/>
        </w:rPr>
        <w:t>2024</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25</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sectPr>
          <w:footerReference r:id="rId8" w:type="default"/>
          <w:pgSz w:w="11900" w:h="16820"/>
          <w:pgMar w:top="1429" w:right="1782" w:bottom="1158" w:left="1450" w:header="0" w:footer="850" w:gutter="0"/>
          <w:cols w:space="720" w:num="1"/>
        </w:sectPr>
      </w:pPr>
    </w:p>
    <w:p>
      <w:pPr>
        <w:spacing w:before="137" w:line="221" w:lineRule="auto"/>
        <w:jc w:val="center"/>
        <w:rPr>
          <w:rFonts w:hint="eastAsia" w:ascii="黑体" w:hAnsi="黑体" w:eastAsia="黑体" w:cs="黑体"/>
          <w:b/>
          <w:bCs/>
          <w:spacing w:val="-15"/>
          <w:sz w:val="31"/>
          <w:szCs w:val="31"/>
          <w:lang w:eastAsia="zh-CN"/>
        </w:rPr>
      </w:pPr>
      <w:r>
        <w:rPr>
          <w:rFonts w:ascii="黑体" w:hAnsi="黑体" w:eastAsia="黑体" w:cs="黑体"/>
          <w:b/>
          <w:bCs/>
          <w:spacing w:val="6"/>
          <w:sz w:val="42"/>
          <w:szCs w:val="42"/>
        </w:rPr>
        <w:t>项目支出绩效评价报告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281" w:firstLineChars="1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281" w:firstLineChars="100"/>
        <w:textAlignment w:val="baseline"/>
        <w:outlineLvl w:val="0"/>
        <w:rPr>
          <w:rFonts w:hint="eastAsia" w:ascii="黑体" w:hAnsi="黑体" w:eastAsia="黑体" w:cs="黑体"/>
          <w:b/>
          <w:bCs/>
          <w:spacing w:val="-15"/>
          <w:sz w:val="31"/>
          <w:szCs w:val="31"/>
          <w:lang w:eastAsia="zh-CN"/>
        </w:rPr>
      </w:pPr>
      <w:r>
        <w:rPr>
          <w:rFonts w:hint="eastAsia" w:ascii="黑体" w:hAnsi="黑体" w:eastAsia="黑体" w:cs="黑体"/>
          <w:b/>
          <w:bCs/>
          <w:spacing w:val="-15"/>
          <w:sz w:val="31"/>
          <w:szCs w:val="31"/>
          <w:lang w:eastAsia="zh-CN"/>
        </w:rPr>
        <w:t xml:space="preserve">一、项目支出基本情况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残疾人就业保障金是县残联依据《湖南省按比例安排残疾人就业规定》（省政府令第206号），依法征收和管理的专项资金。2022年度市财政共拨付我单位残疾人就业保障154万元。专项资金用于残疾人就业及培训、残疾人扶贫及扶持生产、残疾人康复、残疾阳光增收培训，残疾人辅助器具发放，残疾人教育文体、其他等方面。根据残保金的用途及省市残联的安排，我单位设置了残保金专项资金绩效评价指标，明确残保金的使用范围，目标明确、客观、科学，体现了财政支出的经济性、效率性和有效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(二)项目资金使用管理情况。</w:t>
      </w:r>
      <w:r>
        <w:rPr>
          <w:rFonts w:hint="eastAsia" w:eastAsia="仿宋_GB2312"/>
          <w:kern w:val="0"/>
          <w:sz w:val="32"/>
          <w:szCs w:val="32"/>
          <w:lang w:eastAsia="zh-CN"/>
        </w:rPr>
        <w:t>2022年度，财政预算项目支出安排资金154万元，实际使用154万元。主要用于残疾人精准康复、残疾人轮椅支出5万元，盲人救济款6万元，困难残疾人救助8万元，扶残助学25万元，残疾人精准康复、残疾人辅助器具专项6万元，乡镇残联理事长全会议支出4万元，残疾儿童康复救助配套经费26万元，残疾人维稳经费3万元，40,50人员公益性补贴1万元，白内障支出8万元，踩士支出14万元，残疾人状况调查信息更新专项8万元，残疾人无障碍改造专项4万,盲人按摩行业6万元，残疾人就业保障金与奖励挂钩30万元。这些项目资金主要用于全市残疾人的康复救助，困难救助，无障碍设施的改造，辅助器具的适配，扶残助学等。 我单位大力加强资金监管力度，根据有关法律法规，进一步修订完善了财务管理制度，出台了专项资金管理办法，规范机关财务工作行为。加强项目资金的管理，把有限的资金发挥出最大使用效益，同时，采取内部强化培养和外部考核培训等方式，不定期组织财务人员及业务主管参加财经法律法规学习和业务技能培训，全面提高了财务人员的业务水平和法纪意识。在资金的管理上，实行财政专户储存，计划管理，资金使用严格按照规定先编制使用计划，报请分管副县长及财政部门审批后，按计划使用。同时，自觉接受审计、纪检监察、财政部门的监督和检查，确定资金使用不出偏差。严格执行“事前公开，过程公开，结果公开”制度，把资金的运行置于广大人民群众的监督之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napToGrid w:val="0"/>
          <w:color w:val="000000"/>
          <w:spacing w:val="-15"/>
          <w:kern w:val="0"/>
          <w:sz w:val="31"/>
          <w:szCs w:val="31"/>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r>
        <w:rPr>
          <w:rFonts w:hint="eastAsia" w:eastAsia="仿宋_GB2312"/>
          <w:kern w:val="0"/>
          <w:sz w:val="32"/>
          <w:szCs w:val="32"/>
          <w:lang w:eastAsia="zh-CN"/>
        </w:rPr>
        <w:t>（一）合理安排资金。年初，我们根据财政部门下达的项目计划资金，制订量力而行的资金分配方案，将每项目资金下达到各对口股室，要求他们结合实际，及时制订残疾人就业创业、辅具适配、托养、助残等工作实施方案，进一步明确目标任务、领导机构、工作标准、时间进度和工作流程等，做到思路清晰，分工明确，责任到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r>
        <w:rPr>
          <w:rFonts w:hint="eastAsia" w:eastAsia="仿宋_GB2312"/>
          <w:kern w:val="0"/>
          <w:sz w:val="32"/>
          <w:szCs w:val="32"/>
          <w:lang w:eastAsia="zh-CN"/>
        </w:rPr>
        <w:t>（二）选准帮扶对象。各股室组织专门工作班子深入全县各乡镇开展调查摸底，掌握残疾人在就业创业、康复、托养、助学、无障碍改造等方面的需求，建立残疾人工作台帐，全面摸清残疾人底子。坚持以重度残疾人及一户多残等家庭为重点，开展项目扶持，把项目所需经费予以优先保障和重点倾斜，力争把资金用在刀刃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r>
        <w:rPr>
          <w:rFonts w:hint="eastAsia" w:eastAsia="仿宋_GB2312"/>
          <w:kern w:val="0"/>
          <w:sz w:val="32"/>
          <w:szCs w:val="32"/>
          <w:lang w:eastAsia="zh-CN"/>
        </w:rPr>
        <w:t>（三）规范资金管理。资金的管理上，实行财政专户储存，计划管理使用。同时，自觉接受审计、纪检监察、财政部门的监督和检查，确定资金使用不出偏差。根据有关法律法规，县残联进一步修订完善了财务管理制度，出台了《残疾人专项资金管理制度》、《县残联财务管理制度》，认真规范机关财务工作行为。</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ascii="黑体" w:hAnsi="黑体" w:eastAsia="黑体" w:cs="黑体"/>
          <w:b/>
          <w:bCs/>
          <w:spacing w:val="-15"/>
          <w:sz w:val="31"/>
          <w:szCs w:val="31"/>
        </w:rPr>
      </w:pPr>
      <w:r>
        <w:rPr>
          <w:rFonts w:hint="eastAsia" w:ascii="仿宋_GB2312" w:hAnsi="仿宋_GB2312" w:eastAsia="仿宋_GB2312"/>
          <w:color w:val="auto"/>
          <w:sz w:val="32"/>
          <w:szCs w:val="32"/>
          <w:highlight w:val="none"/>
          <w:lang w:val="en-US" w:eastAsia="zh-CN"/>
        </w:rPr>
        <w:t>为加强项目资金管理，规范项目资金管理行为，提高项目管理水平及项目资金使用效益，汨罗市</w:t>
      </w:r>
      <w:r>
        <w:rPr>
          <w:rFonts w:hint="eastAsia" w:ascii="仿宋_GB2312" w:hAnsi="仿宋_GB2312" w:eastAsia="仿宋_GB2312" w:cs="仿宋_GB2312"/>
          <w:sz w:val="32"/>
          <w:szCs w:val="32"/>
          <w:lang w:val="en-US" w:eastAsia="zh-CN"/>
        </w:rPr>
        <w:t>残疾人联合会</w:t>
      </w:r>
      <w:r>
        <w:rPr>
          <w:rFonts w:hint="eastAsia" w:ascii="仿宋_GB2312" w:hAnsi="仿宋_GB2312" w:eastAsia="仿宋_GB2312"/>
          <w:color w:val="auto"/>
          <w:sz w:val="32"/>
          <w:szCs w:val="32"/>
          <w:highlight w:val="none"/>
          <w:lang w:val="en-US" w:eastAsia="zh-CN"/>
        </w:rPr>
        <w:t>制定了财务管理制度、项目资金管理制度、专项资金管理办法等，对项目管理职责、申报与组织实施、项目资金的管理、监督检查与验收等进行了规定，成立了工作领导小组、明确工作职责、确定责任单位、制定工作方案、项目实施细则、考核办法等。2022年</w:t>
      </w:r>
      <w:r>
        <w:rPr>
          <w:rFonts w:hint="eastAsia" w:eastAsia="仿宋_GB2312"/>
          <w:kern w:val="0"/>
          <w:sz w:val="32"/>
          <w:szCs w:val="32"/>
          <w:lang w:val="en-US" w:eastAsia="zh-CN"/>
        </w:rPr>
        <w:t>其他残疾人事业</w:t>
      </w:r>
      <w:r>
        <w:rPr>
          <w:rFonts w:hint="eastAsia" w:ascii="仿宋_GB2312" w:hAnsi="仿宋_GB2312" w:eastAsia="仿宋_GB2312"/>
          <w:color w:val="auto"/>
          <w:sz w:val="32"/>
          <w:szCs w:val="32"/>
          <w:highlight w:val="none"/>
          <w:lang w:val="en-US" w:eastAsia="zh-CN"/>
        </w:rPr>
        <w:t>项目支出基本能够严格按照相关制度规定等进行。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确保本年度</w:t>
      </w:r>
      <w:r>
        <w:rPr>
          <w:rFonts w:hint="eastAsia" w:eastAsia="仿宋_GB2312"/>
          <w:kern w:val="0"/>
          <w:sz w:val="32"/>
          <w:szCs w:val="32"/>
          <w:lang w:val="en-US" w:eastAsia="zh-CN"/>
        </w:rPr>
        <w:t>其他残疾人事业</w:t>
      </w:r>
      <w:r>
        <w:rPr>
          <w:rFonts w:hint="eastAsia" w:ascii="仿宋_GB2312" w:hAnsi="仿宋_GB2312" w:eastAsia="仿宋_GB2312"/>
          <w:color w:val="auto"/>
          <w:sz w:val="32"/>
          <w:szCs w:val="32"/>
          <w:highlight w:val="none"/>
          <w:lang w:val="en-US" w:eastAsia="zh-CN"/>
        </w:rPr>
        <w:t>项目支出经费及时到位，保证残疾人群体各项工作及时，高效，公平，公正。</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eastAsia="zh-CN"/>
        </w:rPr>
        <w:t>(一)项目支出决策情况</w:t>
      </w:r>
      <w:r>
        <w:rPr>
          <w:rFonts w:hint="eastAsia" w:eastAsia="仿宋_GB2312"/>
          <w:kern w:val="0"/>
          <w:sz w:val="32"/>
          <w:szCs w:val="32"/>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本单位项目支出决策根据实际情况制定实施方案，保证</w:t>
      </w:r>
      <w:r>
        <w:rPr>
          <w:rFonts w:hint="eastAsia" w:eastAsia="仿宋_GB2312"/>
          <w:kern w:val="0"/>
          <w:sz w:val="32"/>
          <w:szCs w:val="32"/>
          <w:lang w:val="en-US" w:eastAsia="zh-CN"/>
        </w:rPr>
        <w:t>其他残疾人事业各项工作</w:t>
      </w:r>
      <w:r>
        <w:rPr>
          <w:rFonts w:hint="eastAsia" w:eastAsia="仿宋_GB2312"/>
          <w:kern w:val="0"/>
          <w:sz w:val="32"/>
          <w:szCs w:val="32"/>
          <w:lang w:eastAsia="zh-CN"/>
        </w:rPr>
        <w:t>正常运行，做到专款专用，合理安排项目资金。</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w:t>
      </w:r>
      <w:r>
        <w:rPr>
          <w:rFonts w:hint="eastAsia" w:eastAsia="仿宋_GB2312"/>
          <w:kern w:val="0"/>
          <w:sz w:val="32"/>
          <w:szCs w:val="32"/>
          <w:lang w:eastAsia="zh-CN"/>
        </w:rPr>
        <w:t>本单位项目支出在执行过程中严格按照相关制度规定进行，按照实际情况支出，严禁挤占、挪用、虚列支出等情况发生。</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本单位项目产出按照数量、质量、时效、成本等四个方面，根据各自情况，设置相关指标内容，用于跟踪项目工作的开展。</w:t>
      </w:r>
      <w:r>
        <w:rPr>
          <w:rFonts w:hint="eastAsia" w:ascii="仿宋_GB2312" w:hAnsi="宋体" w:eastAsia="仿宋_GB2312" w:cs="仿宋_GB2312"/>
          <w:i w:val="0"/>
          <w:caps w:val="0"/>
          <w:color w:val="auto"/>
          <w:spacing w:val="0"/>
          <w:kern w:val="2"/>
          <w:sz w:val="31"/>
          <w:szCs w:val="31"/>
          <w:lang w:val="en-US" w:eastAsia="zh-CN" w:bidi="ar-SA"/>
        </w:rPr>
        <w:t>扎实推进民生实事工作，全力抓好扶残助残工作，多渠道安置残疾人就业，积极开展友好单元创建，认真做实残疾人帮扶工，全力维护残疾人稳定，</w:t>
      </w:r>
      <w:r>
        <w:rPr>
          <w:rFonts w:hint="eastAsia" w:eastAsia="仿宋_GB2312"/>
          <w:kern w:val="0"/>
          <w:sz w:val="32"/>
          <w:szCs w:val="32"/>
          <w:lang w:val="en-US" w:eastAsia="zh-CN"/>
        </w:rPr>
        <w:t>时效在</w:t>
      </w:r>
      <w:r>
        <w:rPr>
          <w:rFonts w:hint="eastAsia" w:ascii="仿宋" w:hAnsi="仿宋" w:eastAsia="仿宋" w:cs="仿宋"/>
          <w:kern w:val="0"/>
          <w:sz w:val="32"/>
          <w:szCs w:val="32"/>
          <w:lang w:val="en-US" w:eastAsia="zh-CN"/>
        </w:rPr>
        <w:t>2022</w:t>
      </w:r>
      <w:r>
        <w:rPr>
          <w:rFonts w:hint="eastAsia" w:eastAsia="仿宋_GB2312"/>
          <w:kern w:val="0"/>
          <w:sz w:val="32"/>
          <w:szCs w:val="32"/>
          <w:lang w:val="en-US" w:eastAsia="zh-CN"/>
        </w:rPr>
        <w:t>年</w:t>
      </w:r>
      <w:r>
        <w:rPr>
          <w:rFonts w:hint="eastAsia" w:ascii="仿宋" w:hAnsi="仿宋" w:eastAsia="仿宋" w:cs="仿宋"/>
          <w:kern w:val="0"/>
          <w:sz w:val="32"/>
          <w:szCs w:val="32"/>
          <w:lang w:val="en-US" w:eastAsia="zh-CN"/>
        </w:rPr>
        <w:t>12</w:t>
      </w:r>
      <w:r>
        <w:rPr>
          <w:rFonts w:hint="eastAsia" w:eastAsia="仿宋_GB2312"/>
          <w:kern w:val="0"/>
          <w:sz w:val="32"/>
          <w:szCs w:val="32"/>
          <w:lang w:val="en-US" w:eastAsia="zh-CN"/>
        </w:rPr>
        <w:t>月</w:t>
      </w:r>
      <w:r>
        <w:rPr>
          <w:rFonts w:hint="eastAsia" w:ascii="仿宋" w:hAnsi="仿宋" w:eastAsia="仿宋" w:cs="仿宋"/>
          <w:kern w:val="0"/>
          <w:sz w:val="32"/>
          <w:szCs w:val="32"/>
          <w:lang w:val="en-US" w:eastAsia="zh-CN"/>
        </w:rPr>
        <w:t>31</w:t>
      </w:r>
      <w:r>
        <w:rPr>
          <w:rFonts w:hint="eastAsia" w:eastAsia="仿宋_GB2312"/>
          <w:kern w:val="0"/>
          <w:sz w:val="32"/>
          <w:szCs w:val="32"/>
          <w:lang w:val="en-US" w:eastAsia="zh-CN"/>
        </w:rPr>
        <w:t>日前完成，成本指标</w:t>
      </w:r>
      <w:r>
        <w:rPr>
          <w:rFonts w:hint="eastAsia" w:ascii="仿宋" w:hAnsi="仿宋" w:eastAsia="仿宋" w:cs="仿宋"/>
          <w:kern w:val="0"/>
          <w:sz w:val="32"/>
          <w:szCs w:val="32"/>
          <w:lang w:val="en-US" w:eastAsia="zh-CN"/>
        </w:rPr>
        <w:t>122</w:t>
      </w:r>
      <w:r>
        <w:rPr>
          <w:rFonts w:hint="eastAsia" w:eastAsia="仿宋_GB2312"/>
          <w:kern w:val="0"/>
          <w:sz w:val="32"/>
          <w:szCs w:val="32"/>
          <w:lang w:val="en-US" w:eastAsia="zh-CN"/>
        </w:rPr>
        <w:t>万元已完成。</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本单位项目产出按照社会效益、生态效益、可持续影响、服务对象满意度等四个方面，根据各自情况，设置相关指标内容，用于跟踪项目工作的开展。全市改善残疾对象的办事体验达到预期目标，</w:t>
      </w:r>
      <w:r>
        <w:rPr>
          <w:rFonts w:hint="eastAsia" w:ascii="Times New Roman" w:hAnsi="Times New Roman" w:eastAsia="仿宋_GB2312"/>
          <w:color w:val="auto"/>
          <w:sz w:val="32"/>
          <w:szCs w:val="32"/>
        </w:rPr>
        <w:t>有效改善了残疾人生活环境，提高了残疾人生活质量</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让残疾人群体得到了实惠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残疾人实事项目的实施，有效改善了残疾人生活环境，提高了残疾人生活质量</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让残疾人群体得到了实惠</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但因资金有限，制约了项目的全面开展，难以满足残疾人的需求。社区康复队伍综合素质参差不齐，人员变更频繁，业务知识熟练程度不高。且残疾人就业创业服务形式单一，对广大残疾人就业创业帮助不大。</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tabs>
          <w:tab w:val="left" w:pos="627"/>
        </w:tabs>
        <w:kinsoku/>
        <w:wordWrap/>
        <w:overflowPunct/>
        <w:topLinePunct w:val="0"/>
        <w:autoSpaceDE/>
        <w:autoSpaceDN/>
        <w:bidi w:val="0"/>
        <w:adjustRightInd/>
        <w:snapToGrid/>
        <w:spacing w:line="600" w:lineRule="exact"/>
        <w:ind w:firstLine="640" w:firstLineChars="200"/>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lang w:eastAsia="zh-CN"/>
        </w:rPr>
        <w:t>今后将加强预算管理，进一步规范资金使用，加强资金监管，提升资金使用绩效。加强社区康复人员的培训，加大对社区康复的投入，更好地为残疾人提供康复服务；加大对残疾人就业创业的资金扶持力度，鼓励各类“种养加”企业打造残疾人就业和扶贫基地，吸纳和扶持更多的残疾人就业创业，以工代训，确保残疾人掌握至少一门职业技能和实用技术，实现残疾人就业增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r>
        <w:rPr>
          <w:rFonts w:hint="eastAsia" w:ascii="Arial" w:hAnsi="Arial" w:eastAsia="仿宋_GB2312" w:cs="Arial"/>
          <w:snapToGrid w:val="0"/>
          <w:color w:val="000000"/>
          <w:kern w:val="0"/>
          <w:sz w:val="32"/>
          <w:szCs w:val="32"/>
          <w:lang w:val="en-US" w:eastAsia="zh-CN" w:bidi="ar-SA"/>
        </w:rPr>
        <w:t>无</w:t>
      </w:r>
      <w:bookmarkStart w:id="0" w:name="_GoBack"/>
      <w:bookmarkEnd w:id="0"/>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楷体_GBK">
    <w:panose1 w:val="03000509000000000000"/>
    <w:charset w:val="86"/>
    <w:family w:val="auto"/>
    <w:pitch w:val="default"/>
    <w:sig w:usb0="00000001" w:usb1="080E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4"/>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CD13D2"/>
    <w:multiLevelType w:val="singleLevel"/>
    <w:tmpl w:val="CACD13D2"/>
    <w:lvl w:ilvl="0" w:tentative="0">
      <w:start w:val="6"/>
      <w:numFmt w:val="chineseCounting"/>
      <w:suff w:val="nothing"/>
      <w:lvlText w:val="%1、"/>
      <w:lvlJc w:val="left"/>
      <w:rPr>
        <w:rFonts w:hint="eastAsia"/>
      </w:rPr>
    </w:lvl>
  </w:abstractNum>
  <w:abstractNum w:abstractNumId="1">
    <w:nsid w:val="F18DE1F9"/>
    <w:multiLevelType w:val="singleLevel"/>
    <w:tmpl w:val="F18DE1F9"/>
    <w:lvl w:ilvl="0" w:tentative="0">
      <w:start w:val="2"/>
      <w:numFmt w:val="chineseCounting"/>
      <w:lvlText w:val="(%1)"/>
      <w:lvlJc w:val="left"/>
      <w:pPr>
        <w:tabs>
          <w:tab w:val="left" w:pos="312"/>
        </w:tabs>
      </w:pPr>
      <w:rPr>
        <w:rFonts w:hint="eastAsia"/>
      </w:rPr>
    </w:lvl>
  </w:abstractNum>
  <w:abstractNum w:abstractNumId="2">
    <w:nsid w:val="10358F6C"/>
    <w:multiLevelType w:val="singleLevel"/>
    <w:tmpl w:val="10358F6C"/>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documentProtection w:enforcement="0"/>
  <w:displayHorizontalDrawingGridEvery w:val="1"/>
  <w:displayVerticalDrawingGridEvery w:val="1"/>
  <w:noPunctuationKerning w:val="true"/>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TZlNGUyM2FjN2U5ZWZlMjYxNjZiZGE0NjYzYzQ3ZWQifQ=="/>
  </w:docVars>
  <w:rsids>
    <w:rsidRoot w:val="00000000"/>
    <w:rsid w:val="01AF3811"/>
    <w:rsid w:val="03795BF7"/>
    <w:rsid w:val="05BE6BC7"/>
    <w:rsid w:val="05D279E2"/>
    <w:rsid w:val="06031D14"/>
    <w:rsid w:val="086E756B"/>
    <w:rsid w:val="08746EA3"/>
    <w:rsid w:val="0A130CB6"/>
    <w:rsid w:val="0ACF37E5"/>
    <w:rsid w:val="0AF64030"/>
    <w:rsid w:val="0B400BC6"/>
    <w:rsid w:val="0C923886"/>
    <w:rsid w:val="0DED1794"/>
    <w:rsid w:val="0E68228D"/>
    <w:rsid w:val="11CD2B38"/>
    <w:rsid w:val="13A06A80"/>
    <w:rsid w:val="15276E52"/>
    <w:rsid w:val="19D32FBC"/>
    <w:rsid w:val="1B6034CD"/>
    <w:rsid w:val="1CCE4B8B"/>
    <w:rsid w:val="1E064B3B"/>
    <w:rsid w:val="1E6A4395"/>
    <w:rsid w:val="209D71F2"/>
    <w:rsid w:val="21C20989"/>
    <w:rsid w:val="25451BCF"/>
    <w:rsid w:val="25557A3D"/>
    <w:rsid w:val="25765336"/>
    <w:rsid w:val="259947A6"/>
    <w:rsid w:val="26EA5ED7"/>
    <w:rsid w:val="27A93B82"/>
    <w:rsid w:val="2ABC728F"/>
    <w:rsid w:val="2AC90BF4"/>
    <w:rsid w:val="2AE00186"/>
    <w:rsid w:val="2CE7031F"/>
    <w:rsid w:val="308216BE"/>
    <w:rsid w:val="342A6EDC"/>
    <w:rsid w:val="34FE1149"/>
    <w:rsid w:val="38784B13"/>
    <w:rsid w:val="391D3F23"/>
    <w:rsid w:val="3A550786"/>
    <w:rsid w:val="3B7A130F"/>
    <w:rsid w:val="3D072F81"/>
    <w:rsid w:val="3D0C0065"/>
    <w:rsid w:val="3FA27361"/>
    <w:rsid w:val="41AD3934"/>
    <w:rsid w:val="452D1DC2"/>
    <w:rsid w:val="4A623F3E"/>
    <w:rsid w:val="4BFC351B"/>
    <w:rsid w:val="4C325A71"/>
    <w:rsid w:val="4F8B6063"/>
    <w:rsid w:val="52FA3F96"/>
    <w:rsid w:val="53F23ABD"/>
    <w:rsid w:val="55850F17"/>
    <w:rsid w:val="57AE6D93"/>
    <w:rsid w:val="58DE044A"/>
    <w:rsid w:val="5A384047"/>
    <w:rsid w:val="5AD719F8"/>
    <w:rsid w:val="5D3F13F4"/>
    <w:rsid w:val="5FB623A7"/>
    <w:rsid w:val="61146003"/>
    <w:rsid w:val="63747FEA"/>
    <w:rsid w:val="69594684"/>
    <w:rsid w:val="6DA53BE6"/>
    <w:rsid w:val="6E3851B0"/>
    <w:rsid w:val="6EED7949"/>
    <w:rsid w:val="73240B86"/>
    <w:rsid w:val="738E5F2F"/>
    <w:rsid w:val="73DC22C6"/>
    <w:rsid w:val="75537CE7"/>
    <w:rsid w:val="7A9A3E00"/>
    <w:rsid w:val="7CD8116C"/>
    <w:rsid w:val="7ED67756"/>
    <w:rsid w:val="B37FA7EF"/>
    <w:rsid w:val="BF5F2A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Body Text Indent 2"/>
    <w:basedOn w:val="1"/>
    <w:unhideWhenUsed/>
    <w:qFormat/>
    <w:uiPriority w:val="0"/>
    <w:pPr>
      <w:spacing w:after="120" w:line="480" w:lineRule="auto"/>
      <w:ind w:left="420" w:leftChars="200"/>
    </w:pPr>
  </w:style>
  <w:style w:type="paragraph" w:styleId="4">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 w:type="paragraph" w:styleId="10">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16</Pages>
  <Words>1893</Words>
  <Characters>1955</Characters>
  <TotalTime>3</TotalTime>
  <ScaleCrop>false</ScaleCrop>
  <LinksUpToDate>false</LinksUpToDate>
  <CharactersWithSpaces>2112</CharactersWithSpaces>
  <Application>WPS Office_11.8.2.10505_F1E327BC-269C-435d-A152-05C5408002CA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2024-04-20T13:25:00Z</dcterms:created>
  <dc:creator>Administrator</dc:creator>
  <cp:lastModifiedBy>kylin</cp:lastModifiedBy>
  <cp:lastPrinted>2024-05-22T06:05:00Z</cp:lastPrinted>
  <dcterms:modified xsi:type="dcterms:W3CDTF">2024-07-25T17:57:09Z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2052-11.8.2.10505</vt:lpwstr>
  </property>
  <property fmtid="{D5CDD505-2E9C-101B-9397-08002B2CF9AE}" pid="6" name="ICV">
    <vt:lpwstr>A1E9AC54BF58440288AD196632C2A254_12</vt:lpwstr>
  </property>
</Properties>
</file>