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shd w:val="clear" w:fill="F0F5FE"/>
        <w:spacing w:line="345"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shd w:val="clear" w:fill="F0F5FE"/>
          <w:lang w:val="en-US" w:eastAsia="zh-CN" w:bidi="ar"/>
        </w:rPr>
        <w:t>岳阳市洞庭湖生态环境专项整治</w:t>
      </w:r>
      <w:r>
        <w:rPr>
          <w:rFonts w:hint="eastAsia" w:ascii="宋体" w:hAnsi="宋体" w:eastAsia="宋体" w:cs="宋体"/>
          <w:b w:val="0"/>
          <w:i w:val="0"/>
          <w:caps w:val="0"/>
          <w:color w:val="000000"/>
          <w:spacing w:val="0"/>
          <w:kern w:val="0"/>
          <w:sz w:val="21"/>
          <w:szCs w:val="21"/>
          <w:shd w:val="clear" w:fill="F0F5FE"/>
          <w:lang w:val="en-US" w:eastAsia="zh-CN" w:bidi="ar"/>
        </w:rPr>
        <w:br w:type="textWrapping"/>
      </w:r>
      <w:r>
        <w:rPr>
          <w:rFonts w:hint="eastAsia" w:ascii="宋体" w:hAnsi="宋体" w:eastAsia="宋体" w:cs="宋体"/>
          <w:b w:val="0"/>
          <w:i w:val="0"/>
          <w:caps w:val="0"/>
          <w:color w:val="000000"/>
          <w:spacing w:val="0"/>
          <w:kern w:val="0"/>
          <w:sz w:val="21"/>
          <w:szCs w:val="21"/>
          <w:shd w:val="clear" w:fill="F0F5FE"/>
          <w:lang w:val="en-US" w:eastAsia="zh-CN" w:bidi="ar"/>
        </w:rPr>
        <w:t>三年行动实施方案（2018-2020年）</w:t>
      </w:r>
    </w:p>
    <w:p>
      <w:r>
        <w:rPr>
          <w:rFonts w:hint="eastAsia" w:ascii="宋体" w:hAnsi="宋体" w:eastAsia="宋体" w:cs="宋体"/>
          <w:b w:val="0"/>
          <w:i w:val="0"/>
          <w:caps w:val="0"/>
          <w:color w:val="000000"/>
          <w:spacing w:val="0"/>
          <w:sz w:val="21"/>
          <w:szCs w:val="21"/>
          <w:shd w:val="clear" w:fill="F0F5FE"/>
        </w:rPr>
        <w:br w:type="textWrapping"/>
      </w:r>
      <w:r>
        <w:rPr>
          <w:rFonts w:hint="eastAsia" w:ascii="宋体" w:hAnsi="宋体" w:eastAsia="宋体" w:cs="宋体"/>
          <w:b w:val="0"/>
          <w:i w:val="0"/>
          <w:caps w:val="0"/>
          <w:color w:val="000000"/>
          <w:spacing w:val="0"/>
          <w:sz w:val="21"/>
          <w:szCs w:val="21"/>
          <w:shd w:val="clear" w:fill="F0F5FE"/>
        </w:rPr>
        <w:t>　　为加快改善我市区域内洞庭湖生态环境，推动生态文明建设，根据《湖南省人民政府办公厅关于印发＜洞庭湖生态环境专项整治三年行动计划（2018-2020年）＞的通知》（湘政办发〔2017〕83号）精神，结合我市实际，制定本实施方案。</w:t>
      </w:r>
      <w:r>
        <w:rPr>
          <w:rFonts w:hint="eastAsia" w:ascii="宋体" w:hAnsi="宋体" w:eastAsia="宋体" w:cs="宋体"/>
          <w:b w:val="0"/>
          <w:i w:val="0"/>
          <w:caps w:val="0"/>
          <w:color w:val="000000"/>
          <w:spacing w:val="0"/>
          <w:sz w:val="21"/>
          <w:szCs w:val="21"/>
          <w:shd w:val="clear" w:fill="F0F5FE"/>
        </w:rPr>
        <w:br w:type="textWrapping"/>
      </w:r>
      <w:bookmarkStart w:id="0" w:name="1"/>
      <w:r>
        <w:rPr>
          <w:rFonts w:hint="eastAsia" w:ascii="宋体" w:hAnsi="宋体" w:eastAsia="宋体" w:cs="宋体"/>
          <w:b w:val="0"/>
          <w:i w:val="0"/>
          <w:caps w:val="0"/>
          <w:color w:val="000000"/>
          <w:spacing w:val="0"/>
          <w:sz w:val="21"/>
          <w:szCs w:val="21"/>
          <w:shd w:val="clear" w:fill="F0F5FE"/>
        </w:rPr>
        <w:t>　　一、</w:t>
      </w:r>
      <w:bookmarkEnd w:id="0"/>
      <w:r>
        <w:rPr>
          <w:rFonts w:hint="eastAsia" w:ascii="宋体" w:hAnsi="宋体" w:eastAsia="宋体" w:cs="宋体"/>
          <w:b w:val="0"/>
          <w:i w:val="0"/>
          <w:caps w:val="0"/>
          <w:color w:val="000000"/>
          <w:spacing w:val="0"/>
          <w:sz w:val="21"/>
          <w:szCs w:val="21"/>
          <w:shd w:val="clear" w:fill="F0F5FE"/>
        </w:rPr>
        <w:t>总体要求</w:t>
      </w:r>
      <w:r>
        <w:rPr>
          <w:rFonts w:hint="eastAsia" w:ascii="宋体" w:hAnsi="宋体" w:eastAsia="宋体" w:cs="宋体"/>
          <w:b w:val="0"/>
          <w:i w:val="0"/>
          <w:caps w:val="0"/>
          <w:color w:val="000000"/>
          <w:spacing w:val="0"/>
          <w:sz w:val="21"/>
          <w:szCs w:val="21"/>
          <w:shd w:val="clear" w:fill="F0F5FE"/>
        </w:rPr>
        <w:br w:type="textWrapping"/>
      </w:r>
      <w:r>
        <w:rPr>
          <w:rFonts w:hint="eastAsia" w:ascii="宋体" w:hAnsi="宋体" w:eastAsia="宋体" w:cs="宋体"/>
          <w:b w:val="0"/>
          <w:i w:val="0"/>
          <w:caps w:val="0"/>
          <w:color w:val="000000"/>
          <w:spacing w:val="0"/>
          <w:sz w:val="21"/>
          <w:szCs w:val="21"/>
          <w:shd w:val="clear" w:fill="F0F5FE"/>
        </w:rPr>
        <w:t>　　以习近平新时代中国特色社会主义思想为指导，以省定任务为目标，着力加强重点领域和重点片区污染整治，形成政府统领、部门牵头、属地为主、公众参与、问责有力的新格局，打赢洞庭湖生态环境专项整治攻坚战。</w:t>
      </w:r>
      <w:r>
        <w:rPr>
          <w:rFonts w:hint="eastAsia" w:ascii="宋体" w:hAnsi="宋体" w:eastAsia="宋体" w:cs="宋体"/>
          <w:b w:val="0"/>
          <w:i w:val="0"/>
          <w:caps w:val="0"/>
          <w:color w:val="000000"/>
          <w:spacing w:val="0"/>
          <w:sz w:val="21"/>
          <w:szCs w:val="21"/>
          <w:shd w:val="clear" w:fill="F0F5FE"/>
        </w:rPr>
        <w:br w:type="textWrapping"/>
      </w:r>
      <w:bookmarkStart w:id="1" w:name="2"/>
      <w:r>
        <w:rPr>
          <w:rFonts w:hint="eastAsia" w:ascii="宋体" w:hAnsi="宋体" w:eastAsia="宋体" w:cs="宋体"/>
          <w:b w:val="0"/>
          <w:i w:val="0"/>
          <w:caps w:val="0"/>
          <w:color w:val="000000"/>
          <w:spacing w:val="0"/>
          <w:sz w:val="21"/>
          <w:szCs w:val="21"/>
          <w:shd w:val="clear" w:fill="F0F5FE"/>
        </w:rPr>
        <w:t>　　二、</w:t>
      </w:r>
      <w:bookmarkEnd w:id="1"/>
      <w:r>
        <w:rPr>
          <w:rFonts w:hint="eastAsia" w:ascii="宋体" w:hAnsi="宋体" w:eastAsia="宋体" w:cs="宋体"/>
          <w:b w:val="0"/>
          <w:i w:val="0"/>
          <w:caps w:val="0"/>
          <w:color w:val="000000"/>
          <w:spacing w:val="0"/>
          <w:sz w:val="21"/>
          <w:szCs w:val="21"/>
          <w:shd w:val="clear" w:fill="F0F5FE"/>
        </w:rPr>
        <w:t>主要目标</w:t>
      </w:r>
      <w:r>
        <w:rPr>
          <w:rFonts w:hint="eastAsia" w:ascii="宋体" w:hAnsi="宋体" w:eastAsia="宋体" w:cs="宋体"/>
          <w:b w:val="0"/>
          <w:i w:val="0"/>
          <w:caps w:val="0"/>
          <w:color w:val="000000"/>
          <w:spacing w:val="0"/>
          <w:sz w:val="21"/>
          <w:szCs w:val="21"/>
          <w:shd w:val="clear" w:fill="F0F5FE"/>
        </w:rPr>
        <w:br w:type="textWrapping"/>
      </w:r>
      <w:r>
        <w:rPr>
          <w:rFonts w:hint="eastAsia" w:ascii="宋体" w:hAnsi="宋体" w:eastAsia="宋体" w:cs="宋体"/>
          <w:b w:val="0"/>
          <w:i w:val="0"/>
          <w:caps w:val="0"/>
          <w:color w:val="000000"/>
          <w:spacing w:val="0"/>
          <w:sz w:val="21"/>
          <w:szCs w:val="21"/>
          <w:shd w:val="clear" w:fill="F0F5FE"/>
        </w:rPr>
        <w:t>　　总体目标：开展洞庭湖生态环境专项整治三年行动（以下简称“三年行动”），在洞庭湖区域上下游同治，上游来水达标的情况下，到2020年，我市湖区COD、氨氮、总磷等主要污染物排放量分别比2015年削减11%、12%和10%以上，区域内主要流域和东洞庭湖水质均达到Ⅲ类水质标准以上（总磷≤0.1毫克/升）。</w:t>
      </w:r>
      <w:r>
        <w:rPr>
          <w:rFonts w:hint="eastAsia" w:ascii="宋体" w:hAnsi="宋体" w:eastAsia="宋体" w:cs="宋体"/>
          <w:b w:val="0"/>
          <w:i w:val="0"/>
          <w:caps w:val="0"/>
          <w:color w:val="000000"/>
          <w:spacing w:val="0"/>
          <w:sz w:val="21"/>
          <w:szCs w:val="21"/>
          <w:shd w:val="clear" w:fill="F0F5FE"/>
        </w:rPr>
        <w:br w:type="textWrapping"/>
      </w:r>
      <w:r>
        <w:rPr>
          <w:rFonts w:hint="eastAsia" w:ascii="宋体" w:hAnsi="宋体" w:eastAsia="宋体" w:cs="宋体"/>
          <w:b w:val="0"/>
          <w:i w:val="0"/>
          <w:caps w:val="0"/>
          <w:color w:val="000000"/>
          <w:spacing w:val="0"/>
          <w:sz w:val="21"/>
          <w:szCs w:val="21"/>
          <w:shd w:val="clear" w:fill="F0F5FE"/>
        </w:rPr>
        <w:t>　　具体目标：规模养殖场粪污处理设施装备配套率达到95%以上；化肥利用率提高5个百分点；秸秆综合利用率达到85%以上；县城、市中心城区污水处理率分别达到85%、95%左右，建制镇污水处理设施全覆盖；市中心城区生活垃圾焚烧处理能力占无害化处理总能力的50%以上；农村垃圾收转设施全覆盖，基本完成较大规模非正规垃圾堆放点整治；工业园区全部建成污水集中处理设施和自动在线监测装置，并稳定运行；全面完成造纸、化工、印染等重点行业超标排放整治；市中心城区黑臭水体消除比例达到95%，县级市和县城建成区及所有建制镇黑臭水体得到基本治理，实现城乡黑臭水体治理的全覆盖；同步实现沟渠塘坝清淤疏浚全覆盖；完成湿地修复8.5万亩，湿地保护率稳定在72%以上，生物多样性进一步提升；城镇饮用水水源地水质达标率达到100%，农村自来水水质达标率年均提高5个百分点以上，农村自来水普及率达到90%以上，解决58.2万人农村饮水安全问题；血吸虫病传播阻断达标，不出现新感染人群。</w:t>
      </w:r>
      <w:r>
        <w:rPr>
          <w:rFonts w:hint="eastAsia" w:ascii="宋体" w:hAnsi="宋体" w:eastAsia="宋体" w:cs="宋体"/>
          <w:b w:val="0"/>
          <w:i w:val="0"/>
          <w:caps w:val="0"/>
          <w:color w:val="000000"/>
          <w:spacing w:val="0"/>
          <w:sz w:val="21"/>
          <w:szCs w:val="21"/>
          <w:shd w:val="clear" w:fill="F0F5FE"/>
        </w:rPr>
        <w:br w:type="textWrapping"/>
      </w:r>
      <w:bookmarkStart w:id="2" w:name="3"/>
      <w:r>
        <w:rPr>
          <w:rFonts w:hint="eastAsia" w:ascii="宋体" w:hAnsi="宋体" w:eastAsia="宋体" w:cs="宋体"/>
          <w:b w:val="0"/>
          <w:i w:val="0"/>
          <w:caps w:val="0"/>
          <w:color w:val="000000"/>
          <w:spacing w:val="0"/>
          <w:sz w:val="21"/>
          <w:szCs w:val="21"/>
          <w:shd w:val="clear" w:fill="F0F5FE"/>
        </w:rPr>
        <w:t>　　三、</w:t>
      </w:r>
      <w:bookmarkEnd w:id="2"/>
      <w:r>
        <w:rPr>
          <w:rFonts w:hint="eastAsia" w:ascii="宋体" w:hAnsi="宋体" w:eastAsia="宋体" w:cs="宋体"/>
          <w:b w:val="0"/>
          <w:i w:val="0"/>
          <w:caps w:val="0"/>
          <w:color w:val="000000"/>
          <w:spacing w:val="0"/>
          <w:sz w:val="21"/>
          <w:szCs w:val="21"/>
          <w:shd w:val="clear" w:fill="F0F5FE"/>
        </w:rPr>
        <w:t>重点任务和责任分工</w:t>
      </w:r>
      <w:r>
        <w:rPr>
          <w:rFonts w:hint="eastAsia" w:ascii="宋体" w:hAnsi="宋体" w:eastAsia="宋体" w:cs="宋体"/>
          <w:b w:val="0"/>
          <w:i w:val="0"/>
          <w:caps w:val="0"/>
          <w:color w:val="000000"/>
          <w:spacing w:val="0"/>
          <w:sz w:val="21"/>
          <w:szCs w:val="21"/>
          <w:shd w:val="clear" w:fill="F0F5FE"/>
        </w:rPr>
        <w:br w:type="textWrapping"/>
      </w:r>
      <w:r>
        <w:rPr>
          <w:rFonts w:hint="eastAsia" w:ascii="宋体" w:hAnsi="宋体" w:eastAsia="宋体" w:cs="宋体"/>
          <w:b w:val="0"/>
          <w:i w:val="0"/>
          <w:caps w:val="0"/>
          <w:color w:val="000000"/>
          <w:spacing w:val="0"/>
          <w:sz w:val="21"/>
          <w:szCs w:val="21"/>
          <w:shd w:val="clear" w:fill="F0F5FE"/>
        </w:rPr>
        <w:t>　　（一）全面推进农业面源污染防治。</w:t>
      </w:r>
      <w:r>
        <w:rPr>
          <w:rFonts w:hint="eastAsia" w:ascii="宋体" w:hAnsi="宋体" w:eastAsia="宋体" w:cs="宋体"/>
          <w:b w:val="0"/>
          <w:i w:val="0"/>
          <w:caps w:val="0"/>
          <w:color w:val="000000"/>
          <w:spacing w:val="0"/>
          <w:sz w:val="21"/>
          <w:szCs w:val="21"/>
          <w:shd w:val="clear" w:fill="F0F5FE"/>
        </w:rPr>
        <w:br w:type="textWrapping"/>
      </w:r>
      <w:r>
        <w:rPr>
          <w:rFonts w:hint="eastAsia" w:ascii="宋体" w:hAnsi="宋体" w:eastAsia="宋体" w:cs="宋体"/>
          <w:b w:val="0"/>
          <w:i w:val="0"/>
          <w:caps w:val="0"/>
          <w:color w:val="000000"/>
          <w:spacing w:val="0"/>
          <w:sz w:val="21"/>
          <w:szCs w:val="21"/>
          <w:shd w:val="clear" w:fill="F0F5FE"/>
        </w:rPr>
        <w:t>　　1.加强畜禽养殖污染防治。稳步推进畜禽养殖污染整治行动，严格执行畜禽养殖分区管理制度，禁养区规模畜禽养殖场全部关停退养或搬迁。加快推进畜禽适度规模养殖，到2020年，湖区畜禽规模养殖比重达50%以上。规模养殖场粪污处理设施装备配套率达到95%以上（大型规模养殖场达到100%），依法关停未按期安装粪污处理设施和未实现达标排放的规模养殖场。对新建和扩改建畜禽养殖场，严格执行环境影响评价制度，坚决做到主体工程与养殖废弃物处理设施同时设计、同时施工、同时投入使用。根据辐射半径，在密集养殖区布局建设一批粪污集中处理设施。积极争取县市区纳入国家畜禽养殖废弃物资源化利用整县推进试点。在粪污集中处理设施周边，布局建设循环农业基地，促进农牧结合，推进畜禽养殖废弃物资源化利用。构建有机肥替代化肥的组织方式、政策体系和长效机制，实施有机肥生产、贮运和使用财政性奖补，打通养殖废弃物资源化利用的有效通道，利用率提高到75%以上。2018年，基本建成覆盖湖区的病死畜禽无害化收集处理体系。（牵头市领导：李激扬；牵头责任单位：市农委；配合单位：市环保局；主体责任单位：各县市区政府、管委会）</w:t>
      </w:r>
      <w:r>
        <w:rPr>
          <w:rFonts w:hint="eastAsia" w:ascii="宋体" w:hAnsi="宋体" w:eastAsia="宋体" w:cs="宋体"/>
          <w:b w:val="0"/>
          <w:i w:val="0"/>
          <w:caps w:val="0"/>
          <w:color w:val="000000"/>
          <w:spacing w:val="0"/>
          <w:sz w:val="21"/>
          <w:szCs w:val="21"/>
          <w:shd w:val="clear" w:fill="F0F5FE"/>
        </w:rPr>
        <w:br w:type="textWrapping"/>
      </w:r>
      <w:r>
        <w:rPr>
          <w:rFonts w:hint="eastAsia" w:ascii="宋体" w:hAnsi="宋体" w:eastAsia="宋体" w:cs="宋体"/>
          <w:b w:val="0"/>
          <w:i w:val="0"/>
          <w:caps w:val="0"/>
          <w:color w:val="000000"/>
          <w:spacing w:val="0"/>
          <w:sz w:val="21"/>
          <w:szCs w:val="21"/>
          <w:shd w:val="clear" w:fill="F0F5FE"/>
        </w:rPr>
        <w:t>　　2.推进渔业生态健康养殖。配合省里修订《洞庭湖区养殖水域滩涂规划》，全面规范河流、湖泊、水库等天然水域的水产养殖行为，禁止天然水域投饵投肥养殖，严格控制湖泊珍珠养殖。加快推进河湖矮围网围清理整治行动，矮围网围和饮用水源一级保护区的养殖网箱网拦全部清理拆除。加快推广稻鱼综合种养技术模式，洞庭湖区稻鱼综合种养面积每年新增6万亩。升级改造洞庭湖区26万亩精养池塘，实现池塘渔业用水循环利用、达标排放。（牵头市领导：李激扬；牵头责任单位：市农委；主体责任单位：各县市区政府、管委会）</w:t>
      </w:r>
      <w:r>
        <w:rPr>
          <w:rFonts w:hint="eastAsia" w:ascii="宋体" w:hAnsi="宋体" w:eastAsia="宋体" w:cs="宋体"/>
          <w:b w:val="0"/>
          <w:i w:val="0"/>
          <w:caps w:val="0"/>
          <w:color w:val="000000"/>
          <w:spacing w:val="0"/>
          <w:sz w:val="21"/>
          <w:szCs w:val="21"/>
          <w:shd w:val="clear" w:fill="F0F5FE"/>
        </w:rPr>
        <w:br w:type="textWrapping"/>
      </w:r>
      <w:r>
        <w:rPr>
          <w:rFonts w:hint="eastAsia" w:ascii="宋体" w:hAnsi="宋体" w:eastAsia="宋体" w:cs="宋体"/>
          <w:b w:val="0"/>
          <w:i w:val="0"/>
          <w:caps w:val="0"/>
          <w:color w:val="000000"/>
          <w:spacing w:val="0"/>
          <w:sz w:val="21"/>
          <w:szCs w:val="21"/>
          <w:shd w:val="clear" w:fill="F0F5FE"/>
        </w:rPr>
        <w:t>　　3.实施化肥农药零增长行动。全面推广测土配方施肥和病虫害绿色防控技术，大力推进农作物病虫害专业化统防统治，到2020年，恢复发展绿肥110万亩以上，推广水肥一体化技术应用面积9万亩，主要农作物测土配方施肥覆盖率达95%，病虫害统防统治覆盖率达40%以上，化学农药使用总量减少12%以上。（牵头市领导：李激扬；牵头责任单位：市农委；主体责任单位：各县市区政府、管委会）</w:t>
      </w:r>
      <w:r>
        <w:rPr>
          <w:rFonts w:hint="eastAsia" w:ascii="宋体" w:hAnsi="宋体" w:eastAsia="宋体" w:cs="宋体"/>
          <w:b w:val="0"/>
          <w:i w:val="0"/>
          <w:caps w:val="0"/>
          <w:color w:val="000000"/>
          <w:spacing w:val="0"/>
          <w:sz w:val="21"/>
          <w:szCs w:val="21"/>
          <w:shd w:val="clear" w:fill="F0F5FE"/>
        </w:rPr>
        <w:br w:type="textWrapping"/>
      </w:r>
      <w:r>
        <w:rPr>
          <w:rFonts w:hint="eastAsia" w:ascii="宋体" w:hAnsi="宋体" w:eastAsia="宋体" w:cs="宋体"/>
          <w:b w:val="0"/>
          <w:i w:val="0"/>
          <w:caps w:val="0"/>
          <w:color w:val="000000"/>
          <w:spacing w:val="0"/>
          <w:sz w:val="21"/>
          <w:szCs w:val="21"/>
          <w:shd w:val="clear" w:fill="F0F5FE"/>
        </w:rPr>
        <w:t>　　4.促进农业废弃物综合利用。禁止秸秆露天焚烧，推广秸秆粉碎还田、快速腐熟还田等技术。湖区每个县市建设稻草收储点6个，支持对稻草进行肥料化、燃料化、饲料化、原料化、基料化综合利用，利用率达85%以上。出台农药包装废弃物、农膜回收管理办法，支持推行农药包装废弃物回收处置工作和推广地膜回收加工能力建设，创新地膜回收与再利用机制。</w:t>
      </w:r>
      <w:bookmarkStart w:id="3" w:name="_GoBack"/>
      <w:bookmarkEnd w:id="3"/>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BF0461E"/>
    <w:rsid w:val="4BF0461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2020-04-14T01:47:00Z</dcterms:created>
  <dc:creator>三毛砣</dc:creator>
  <cp:lastModifiedBy>三毛砣</cp:lastModifiedBy>
  <dcterms:modified xsi:type="dcterms:W3CDTF">2020-04-14T01:48:17Z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